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E56C48" w14:textId="77777777" w:rsidR="004975EB" w:rsidRDefault="004975EB" w:rsidP="00944638">
      <w:pPr>
        <w:jc w:val="center"/>
        <w:rPr>
          <w:rFonts w:asciiTheme="majorHAnsi" w:hAnsiTheme="majorHAnsi" w:cs="Arial"/>
          <w:b/>
          <w:sz w:val="22"/>
          <w:szCs w:val="22"/>
          <w:lang w:val="es-MX"/>
        </w:rPr>
      </w:pPr>
      <w:bookmarkStart w:id="0" w:name="_GoBack"/>
      <w:bookmarkEnd w:id="0"/>
    </w:p>
    <w:p w14:paraId="7F087CE3" w14:textId="77777777" w:rsidR="000C4C36" w:rsidRPr="00E676E3" w:rsidRDefault="000C4C36" w:rsidP="00944638">
      <w:pPr>
        <w:jc w:val="center"/>
        <w:rPr>
          <w:rFonts w:asciiTheme="majorHAnsi" w:hAnsiTheme="majorHAnsi" w:cs="Arial"/>
          <w:b/>
          <w:sz w:val="22"/>
          <w:szCs w:val="22"/>
          <w:lang w:val="es-MX"/>
        </w:rPr>
      </w:pPr>
    </w:p>
    <w:p w14:paraId="0BB309F8" w14:textId="676CA2D1" w:rsidR="004E4D8F" w:rsidRPr="00E676E3" w:rsidRDefault="00944638" w:rsidP="00944638">
      <w:pPr>
        <w:jc w:val="center"/>
        <w:rPr>
          <w:rFonts w:asciiTheme="majorHAnsi" w:hAnsiTheme="majorHAnsi" w:cs="Arial"/>
          <w:b/>
          <w:sz w:val="22"/>
          <w:szCs w:val="22"/>
          <w:lang w:val="es-MX"/>
        </w:rPr>
      </w:pPr>
      <w:r w:rsidRPr="00E676E3">
        <w:rPr>
          <w:rFonts w:asciiTheme="majorHAnsi" w:hAnsiTheme="majorHAnsi" w:cs="Arial"/>
          <w:b/>
          <w:sz w:val="22"/>
          <w:szCs w:val="22"/>
          <w:lang w:val="es-MX"/>
        </w:rPr>
        <w:t>INSTITUTO DE PENSIONES DEL ESTADO DE JALISCO</w:t>
      </w:r>
    </w:p>
    <w:p w14:paraId="4DAF13ED" w14:textId="336FC412" w:rsidR="00944638" w:rsidRPr="00E676E3" w:rsidRDefault="00944638" w:rsidP="00944638">
      <w:pPr>
        <w:jc w:val="center"/>
        <w:rPr>
          <w:rFonts w:asciiTheme="majorHAnsi" w:hAnsiTheme="majorHAnsi" w:cs="Arial"/>
          <w:b/>
          <w:sz w:val="22"/>
          <w:szCs w:val="22"/>
          <w:lang w:val="es-MX"/>
        </w:rPr>
      </w:pPr>
      <w:r w:rsidRPr="00E676E3">
        <w:rPr>
          <w:rFonts w:asciiTheme="majorHAnsi" w:hAnsiTheme="majorHAnsi" w:cs="Arial"/>
          <w:b/>
          <w:sz w:val="22"/>
          <w:szCs w:val="22"/>
          <w:lang w:val="es-MX"/>
        </w:rPr>
        <w:t xml:space="preserve">DIRECCIÓN </w:t>
      </w:r>
      <w:r w:rsidR="000844FF">
        <w:rPr>
          <w:rFonts w:asciiTheme="majorHAnsi" w:hAnsiTheme="majorHAnsi" w:cs="Arial"/>
          <w:b/>
          <w:sz w:val="22"/>
          <w:szCs w:val="22"/>
          <w:lang w:val="es-MX"/>
        </w:rPr>
        <w:t>GENERAL DE ADMINISTRACIÓN</w:t>
      </w:r>
    </w:p>
    <w:p w14:paraId="33DE1ED6" w14:textId="395B7B69" w:rsidR="00944638" w:rsidRPr="00E676E3" w:rsidRDefault="00944638" w:rsidP="00944638">
      <w:pPr>
        <w:jc w:val="center"/>
        <w:rPr>
          <w:rFonts w:asciiTheme="majorHAnsi" w:hAnsiTheme="majorHAnsi" w:cs="Arial"/>
          <w:b/>
          <w:sz w:val="22"/>
          <w:szCs w:val="22"/>
          <w:lang w:val="es-MX"/>
        </w:rPr>
      </w:pPr>
      <w:r w:rsidRPr="00E676E3">
        <w:rPr>
          <w:rFonts w:asciiTheme="majorHAnsi" w:hAnsiTheme="majorHAnsi" w:cs="Arial"/>
          <w:b/>
          <w:sz w:val="22"/>
          <w:szCs w:val="22"/>
          <w:lang w:val="es-MX"/>
        </w:rPr>
        <w:t xml:space="preserve">PROGRAMA ANUAL DE ADQUISICIONES, ARRENDAMIENTOS </w:t>
      </w:r>
    </w:p>
    <w:p w14:paraId="0B98A289" w14:textId="66BCAF25" w:rsidR="00FE39D1" w:rsidRPr="00E676E3" w:rsidRDefault="002D4920" w:rsidP="00FE39D1">
      <w:pPr>
        <w:jc w:val="center"/>
        <w:rPr>
          <w:rFonts w:asciiTheme="majorHAnsi" w:hAnsiTheme="majorHAnsi" w:cs="Arial"/>
          <w:b/>
          <w:sz w:val="22"/>
          <w:szCs w:val="22"/>
          <w:lang w:val="es-MX"/>
        </w:rPr>
      </w:pPr>
      <w:r>
        <w:rPr>
          <w:rFonts w:asciiTheme="majorHAnsi" w:hAnsiTheme="majorHAnsi" w:cs="Arial"/>
          <w:b/>
          <w:sz w:val="22"/>
          <w:szCs w:val="22"/>
          <w:lang w:val="es-MX"/>
        </w:rPr>
        <w:t>Y CONTRATACIÓN DE SERVICIOS 2021</w:t>
      </w:r>
      <w:r w:rsidR="007E3EE9" w:rsidRPr="00E676E3">
        <w:rPr>
          <w:rFonts w:asciiTheme="majorHAnsi" w:hAnsiTheme="majorHAnsi" w:cs="Arial"/>
          <w:b/>
          <w:sz w:val="22"/>
          <w:szCs w:val="22"/>
          <w:lang w:val="es-MX"/>
        </w:rPr>
        <w:t xml:space="preserve"> (PAA)</w:t>
      </w:r>
    </w:p>
    <w:p w14:paraId="0F843AFD" w14:textId="77777777" w:rsidR="00FE39D1" w:rsidRPr="002052F2" w:rsidRDefault="00FE39D1" w:rsidP="00FE39D1">
      <w:pPr>
        <w:jc w:val="center"/>
        <w:rPr>
          <w:rFonts w:asciiTheme="majorHAnsi" w:hAnsiTheme="majorHAnsi" w:cs="Arial"/>
          <w:b/>
          <w:sz w:val="22"/>
          <w:szCs w:val="22"/>
          <w:lang w:val="es-MX"/>
        </w:rPr>
      </w:pPr>
    </w:p>
    <w:p w14:paraId="1FE6BA2A" w14:textId="0A9F8DAF" w:rsidR="00071B27" w:rsidRPr="002052F2" w:rsidRDefault="00071B27" w:rsidP="00F064A0">
      <w:pPr>
        <w:spacing w:line="360" w:lineRule="auto"/>
        <w:jc w:val="both"/>
        <w:rPr>
          <w:rFonts w:asciiTheme="majorHAnsi" w:hAnsiTheme="majorHAnsi" w:cs="Arial"/>
          <w:sz w:val="22"/>
          <w:szCs w:val="22"/>
          <w:lang w:val="es-MX"/>
        </w:rPr>
      </w:pPr>
      <w:r w:rsidRPr="002052F2">
        <w:rPr>
          <w:rFonts w:asciiTheme="majorHAnsi" w:hAnsiTheme="majorHAnsi" w:cs="Arial"/>
          <w:sz w:val="22"/>
          <w:szCs w:val="22"/>
          <w:lang w:val="es-MX"/>
        </w:rPr>
        <w:t>El prog</w:t>
      </w:r>
      <w:r w:rsidR="000844FF" w:rsidRPr="002052F2">
        <w:rPr>
          <w:rFonts w:asciiTheme="majorHAnsi" w:hAnsiTheme="majorHAnsi" w:cs="Arial"/>
          <w:sz w:val="22"/>
          <w:szCs w:val="22"/>
          <w:lang w:val="es-MX"/>
        </w:rPr>
        <w:t xml:space="preserve">rama </w:t>
      </w:r>
      <w:r w:rsidR="002D4920">
        <w:rPr>
          <w:rFonts w:asciiTheme="majorHAnsi" w:hAnsiTheme="majorHAnsi" w:cs="Arial"/>
          <w:sz w:val="22"/>
          <w:szCs w:val="22"/>
          <w:lang w:val="es-MX"/>
        </w:rPr>
        <w:t>anual de adquisiciones 2021</w:t>
      </w:r>
      <w:r w:rsidRPr="002052F2">
        <w:rPr>
          <w:rFonts w:asciiTheme="majorHAnsi" w:hAnsiTheme="majorHAnsi" w:cs="Arial"/>
          <w:sz w:val="22"/>
          <w:szCs w:val="22"/>
          <w:lang w:val="es-MX"/>
        </w:rPr>
        <w:t xml:space="preserve"> del Instituto de Pensiones del Estado de Jalisco, constituye la herramienta de gestión del organismo, en el cual figuran las modalidades de adquisiciones arrendamientos y contratación de bienes y servicios, cuyos procesos de selección serán a través de procesos de licitación</w:t>
      </w:r>
      <w:r w:rsidR="004975EB" w:rsidRPr="002052F2">
        <w:rPr>
          <w:rFonts w:asciiTheme="majorHAnsi" w:hAnsiTheme="majorHAnsi" w:cs="Arial"/>
          <w:sz w:val="22"/>
          <w:szCs w:val="22"/>
          <w:lang w:val="es-MX"/>
        </w:rPr>
        <w:t>,</w:t>
      </w:r>
      <w:r w:rsidRPr="002052F2">
        <w:rPr>
          <w:rFonts w:asciiTheme="majorHAnsi" w:hAnsiTheme="majorHAnsi" w:cs="Arial"/>
          <w:sz w:val="22"/>
          <w:szCs w:val="22"/>
          <w:lang w:val="es-MX"/>
        </w:rPr>
        <w:t xml:space="preserve"> como lo establece la Ley de Compras Gubernamentales Enajenaciones y Contratación de Servicios del Estado de Jalisco y sus Municipios y las Políticas Bases y Lineamientos para la Contratación de adquisiciones y enajenaciones de</w:t>
      </w:r>
      <w:r w:rsidR="006344ED">
        <w:rPr>
          <w:rFonts w:asciiTheme="majorHAnsi" w:hAnsiTheme="majorHAnsi" w:cs="Arial"/>
          <w:sz w:val="22"/>
          <w:szCs w:val="22"/>
          <w:lang w:val="es-MX"/>
        </w:rPr>
        <w:t>l</w:t>
      </w:r>
      <w:r w:rsidRPr="002052F2">
        <w:rPr>
          <w:rFonts w:asciiTheme="majorHAnsi" w:hAnsiTheme="majorHAnsi" w:cs="Arial"/>
          <w:sz w:val="22"/>
          <w:szCs w:val="22"/>
          <w:lang w:val="es-MX"/>
        </w:rPr>
        <w:t xml:space="preserve"> </w:t>
      </w:r>
      <w:r w:rsidR="006344ED">
        <w:rPr>
          <w:rFonts w:asciiTheme="majorHAnsi" w:hAnsiTheme="majorHAnsi" w:cs="Arial"/>
          <w:sz w:val="22"/>
          <w:szCs w:val="22"/>
          <w:lang w:val="es-MX"/>
        </w:rPr>
        <w:t>Instituto</w:t>
      </w:r>
      <w:r w:rsidRPr="002052F2">
        <w:rPr>
          <w:rFonts w:asciiTheme="majorHAnsi" w:hAnsiTheme="majorHAnsi" w:cs="Arial"/>
          <w:sz w:val="22"/>
          <w:szCs w:val="22"/>
          <w:lang w:val="es-MX"/>
        </w:rPr>
        <w:t xml:space="preserve"> de Pensiones del Estado y con sujeción el presupuesto de egresos vigente en cada ejercicio fiscal.</w:t>
      </w:r>
    </w:p>
    <w:p w14:paraId="7DB55A0F" w14:textId="1699DD0F" w:rsidR="004975EB" w:rsidRPr="002052F2" w:rsidRDefault="00071B27" w:rsidP="00F064A0">
      <w:pPr>
        <w:spacing w:line="360" w:lineRule="auto"/>
        <w:jc w:val="both"/>
        <w:rPr>
          <w:rFonts w:asciiTheme="majorHAnsi" w:hAnsiTheme="majorHAnsi" w:cs="Arial"/>
          <w:sz w:val="22"/>
          <w:szCs w:val="22"/>
          <w:lang w:val="es-MX"/>
        </w:rPr>
      </w:pPr>
      <w:r w:rsidRPr="002052F2">
        <w:rPr>
          <w:rFonts w:asciiTheme="majorHAnsi" w:hAnsiTheme="majorHAnsi" w:cs="Arial"/>
          <w:sz w:val="22"/>
          <w:szCs w:val="22"/>
          <w:lang w:val="es-MX"/>
        </w:rPr>
        <w:t xml:space="preserve">El objetivo del Programa Anual de Adquisiciones, es formular, planificar, registrar y evaluar las adquisiciones de bienes y </w:t>
      </w:r>
      <w:r w:rsidR="006344ED">
        <w:rPr>
          <w:rFonts w:asciiTheme="majorHAnsi" w:hAnsiTheme="majorHAnsi" w:cs="Arial"/>
          <w:sz w:val="22"/>
          <w:szCs w:val="22"/>
          <w:lang w:val="es-MX"/>
        </w:rPr>
        <w:t xml:space="preserve">contratación de </w:t>
      </w:r>
      <w:r w:rsidRPr="002052F2">
        <w:rPr>
          <w:rFonts w:asciiTheme="majorHAnsi" w:hAnsiTheme="majorHAnsi" w:cs="Arial"/>
          <w:sz w:val="22"/>
          <w:szCs w:val="22"/>
          <w:lang w:val="es-MX"/>
        </w:rPr>
        <w:t>servicios del Instituto.</w:t>
      </w:r>
    </w:p>
    <w:p w14:paraId="68D2E2B8" w14:textId="68F8A25F" w:rsidR="00071B27" w:rsidRPr="002052F2" w:rsidRDefault="00071B27" w:rsidP="00F064A0">
      <w:pPr>
        <w:spacing w:line="360" w:lineRule="auto"/>
        <w:jc w:val="both"/>
        <w:rPr>
          <w:rFonts w:asciiTheme="majorHAnsi" w:hAnsiTheme="majorHAnsi" w:cs="Arial"/>
          <w:sz w:val="22"/>
          <w:szCs w:val="22"/>
          <w:lang w:val="es-MX"/>
        </w:rPr>
      </w:pPr>
      <w:r w:rsidRPr="002052F2">
        <w:rPr>
          <w:rFonts w:asciiTheme="majorHAnsi" w:hAnsiTheme="majorHAnsi" w:cs="Arial"/>
          <w:sz w:val="22"/>
          <w:szCs w:val="22"/>
          <w:lang w:val="es-MX"/>
        </w:rPr>
        <w:t xml:space="preserve">El programa anual de </w:t>
      </w:r>
      <w:r w:rsidR="004975EB" w:rsidRPr="002052F2">
        <w:rPr>
          <w:rFonts w:asciiTheme="majorHAnsi" w:hAnsiTheme="majorHAnsi" w:cs="Arial"/>
          <w:sz w:val="22"/>
          <w:szCs w:val="22"/>
          <w:lang w:val="es-MX"/>
        </w:rPr>
        <w:t>Adquisiciones,</w:t>
      </w:r>
      <w:r w:rsidRPr="002052F2">
        <w:rPr>
          <w:rFonts w:asciiTheme="majorHAnsi" w:hAnsiTheme="majorHAnsi" w:cs="Arial"/>
          <w:sz w:val="22"/>
          <w:szCs w:val="22"/>
          <w:lang w:val="es-MX"/>
        </w:rPr>
        <w:t xml:space="preserve"> es un documento de </w:t>
      </w:r>
      <w:r w:rsidR="004975EB" w:rsidRPr="002052F2">
        <w:rPr>
          <w:rFonts w:asciiTheme="majorHAnsi" w:hAnsiTheme="majorHAnsi" w:cs="Arial"/>
          <w:sz w:val="22"/>
          <w:szCs w:val="22"/>
          <w:lang w:val="es-MX"/>
        </w:rPr>
        <w:t>naturaleza</w:t>
      </w:r>
      <w:r w:rsidRPr="002052F2">
        <w:rPr>
          <w:rFonts w:asciiTheme="majorHAnsi" w:hAnsiTheme="majorHAnsi" w:cs="Arial"/>
          <w:sz w:val="22"/>
          <w:szCs w:val="22"/>
          <w:lang w:val="es-MX"/>
        </w:rPr>
        <w:t xml:space="preserve"> informativa y las adquisiciones arrendamientos </w:t>
      </w:r>
      <w:r w:rsidR="004975EB" w:rsidRPr="002052F2">
        <w:rPr>
          <w:rFonts w:asciiTheme="majorHAnsi" w:hAnsiTheme="majorHAnsi" w:cs="Arial"/>
          <w:sz w:val="22"/>
          <w:szCs w:val="22"/>
          <w:lang w:val="es-MX"/>
        </w:rPr>
        <w:t>y servicios contenido</w:t>
      </w:r>
      <w:r w:rsidRPr="002052F2">
        <w:rPr>
          <w:rFonts w:asciiTheme="majorHAnsi" w:hAnsiTheme="majorHAnsi" w:cs="Arial"/>
          <w:sz w:val="22"/>
          <w:szCs w:val="22"/>
          <w:lang w:val="es-MX"/>
        </w:rPr>
        <w:t>s en el citado programa podrán ser adicionadas</w:t>
      </w:r>
      <w:r w:rsidR="004975EB" w:rsidRPr="002052F2">
        <w:rPr>
          <w:rFonts w:asciiTheme="majorHAnsi" w:hAnsiTheme="majorHAnsi" w:cs="Arial"/>
          <w:sz w:val="22"/>
          <w:szCs w:val="22"/>
          <w:lang w:val="es-MX"/>
        </w:rPr>
        <w:t>,</w:t>
      </w:r>
      <w:r w:rsidRPr="002052F2">
        <w:rPr>
          <w:rFonts w:asciiTheme="majorHAnsi" w:hAnsiTheme="majorHAnsi" w:cs="Arial"/>
          <w:sz w:val="22"/>
          <w:szCs w:val="22"/>
          <w:lang w:val="es-MX"/>
        </w:rPr>
        <w:t xml:space="preserve"> modificadas</w:t>
      </w:r>
      <w:r w:rsidR="004975EB" w:rsidRPr="002052F2">
        <w:rPr>
          <w:rFonts w:asciiTheme="majorHAnsi" w:hAnsiTheme="majorHAnsi" w:cs="Arial"/>
          <w:sz w:val="22"/>
          <w:szCs w:val="22"/>
          <w:lang w:val="es-MX"/>
        </w:rPr>
        <w:t>, suspendidas o canceladas si</w:t>
      </w:r>
      <w:r w:rsidRPr="002052F2">
        <w:rPr>
          <w:rFonts w:asciiTheme="majorHAnsi" w:hAnsiTheme="majorHAnsi" w:cs="Arial"/>
          <w:sz w:val="22"/>
          <w:szCs w:val="22"/>
          <w:lang w:val="es-MX"/>
        </w:rPr>
        <w:t xml:space="preserve">n responsabilidad alguna para el ente público. </w:t>
      </w:r>
    </w:p>
    <w:tbl>
      <w:tblPr>
        <w:tblStyle w:val="Tablaconcuadrcula"/>
        <w:tblW w:w="0" w:type="auto"/>
        <w:tblLook w:val="04A0" w:firstRow="1" w:lastRow="0" w:firstColumn="1" w:lastColumn="0" w:noHBand="0" w:noVBand="1"/>
      </w:tblPr>
      <w:tblGrid>
        <w:gridCol w:w="2477"/>
        <w:gridCol w:w="6577"/>
      </w:tblGrid>
      <w:tr w:rsidR="007E3EE9" w:rsidRPr="00E676E3" w14:paraId="36A0B75E" w14:textId="77777777" w:rsidTr="00A5387E">
        <w:trPr>
          <w:trHeight w:val="395"/>
        </w:trPr>
        <w:tc>
          <w:tcPr>
            <w:tcW w:w="10940" w:type="dxa"/>
            <w:gridSpan w:val="2"/>
          </w:tcPr>
          <w:p w14:paraId="0DC8F56E" w14:textId="77777777" w:rsidR="00E676E3" w:rsidRPr="00E676E3" w:rsidRDefault="00E676E3" w:rsidP="00E676E3">
            <w:pPr>
              <w:pStyle w:val="Prrafodelista"/>
              <w:spacing w:before="240"/>
              <w:rPr>
                <w:rFonts w:asciiTheme="majorHAnsi" w:hAnsiTheme="majorHAnsi" w:cs="Arial"/>
                <w:b/>
                <w:sz w:val="2"/>
                <w:szCs w:val="22"/>
                <w:lang w:val="es-MX"/>
              </w:rPr>
            </w:pPr>
          </w:p>
          <w:p w14:paraId="5F1152C2" w14:textId="67042D4C" w:rsidR="007E3EE9" w:rsidRPr="00E676E3" w:rsidRDefault="00E676E3" w:rsidP="00E676E3">
            <w:pPr>
              <w:pStyle w:val="Prrafodelista"/>
              <w:spacing w:before="240"/>
              <w:jc w:val="center"/>
              <w:rPr>
                <w:rFonts w:asciiTheme="majorHAnsi" w:hAnsiTheme="majorHAnsi" w:cs="Arial"/>
                <w:b/>
                <w:sz w:val="22"/>
                <w:szCs w:val="22"/>
                <w:lang w:val="es-MX"/>
              </w:rPr>
            </w:pPr>
            <w:r w:rsidRPr="00E676E3">
              <w:rPr>
                <w:rFonts w:asciiTheme="majorHAnsi" w:hAnsiTheme="majorHAnsi" w:cs="Arial"/>
                <w:b/>
                <w:sz w:val="22"/>
                <w:szCs w:val="22"/>
                <w:lang w:val="es-MX"/>
              </w:rPr>
              <w:t>INFORMACIÓ</w:t>
            </w:r>
            <w:r w:rsidR="007E3EE9" w:rsidRPr="00E676E3">
              <w:rPr>
                <w:rFonts w:asciiTheme="majorHAnsi" w:hAnsiTheme="majorHAnsi" w:cs="Arial"/>
                <w:b/>
                <w:sz w:val="22"/>
                <w:szCs w:val="22"/>
                <w:lang w:val="es-MX"/>
              </w:rPr>
              <w:t>N GENERAL DEL ENTE PÚBLICO</w:t>
            </w:r>
          </w:p>
        </w:tc>
      </w:tr>
      <w:tr w:rsidR="007E3EE9" w:rsidRPr="00E676E3" w14:paraId="34AF7606" w14:textId="77777777" w:rsidTr="00A5387E">
        <w:trPr>
          <w:trHeight w:val="286"/>
        </w:trPr>
        <w:tc>
          <w:tcPr>
            <w:tcW w:w="2943" w:type="dxa"/>
          </w:tcPr>
          <w:p w14:paraId="4EA75149" w14:textId="75794CC1" w:rsidR="007E3EE9" w:rsidRPr="00E676E3" w:rsidRDefault="007E3EE9" w:rsidP="00071B27">
            <w:pPr>
              <w:rPr>
                <w:rFonts w:asciiTheme="majorHAnsi" w:hAnsiTheme="majorHAnsi" w:cs="Arial"/>
                <w:b/>
                <w:sz w:val="22"/>
                <w:szCs w:val="22"/>
                <w:lang w:val="es-MX"/>
              </w:rPr>
            </w:pPr>
            <w:r w:rsidRPr="00E676E3">
              <w:rPr>
                <w:rFonts w:asciiTheme="majorHAnsi" w:hAnsiTheme="majorHAnsi" w:cs="Arial"/>
                <w:b/>
                <w:sz w:val="22"/>
                <w:szCs w:val="22"/>
                <w:lang w:val="es-MX"/>
              </w:rPr>
              <w:t>Nombre</w:t>
            </w:r>
          </w:p>
        </w:tc>
        <w:tc>
          <w:tcPr>
            <w:tcW w:w="7997" w:type="dxa"/>
          </w:tcPr>
          <w:p w14:paraId="0760206F" w14:textId="77777777" w:rsidR="00E676E3" w:rsidRPr="00E676E3" w:rsidRDefault="00E676E3" w:rsidP="00071B27">
            <w:pPr>
              <w:rPr>
                <w:rFonts w:asciiTheme="majorHAnsi" w:hAnsiTheme="majorHAnsi" w:cs="Arial"/>
                <w:sz w:val="6"/>
                <w:szCs w:val="22"/>
                <w:lang w:val="es-MX"/>
              </w:rPr>
            </w:pPr>
          </w:p>
          <w:p w14:paraId="03E649F2" w14:textId="2D5F362C" w:rsidR="007E3EE9" w:rsidRPr="00E676E3" w:rsidRDefault="007E3EE9" w:rsidP="00071B27">
            <w:pPr>
              <w:rPr>
                <w:rFonts w:asciiTheme="majorHAnsi" w:hAnsiTheme="majorHAnsi" w:cs="Arial"/>
                <w:sz w:val="22"/>
                <w:szCs w:val="22"/>
                <w:lang w:val="es-MX"/>
              </w:rPr>
            </w:pPr>
            <w:r w:rsidRPr="00E676E3">
              <w:rPr>
                <w:rFonts w:asciiTheme="majorHAnsi" w:hAnsiTheme="majorHAnsi" w:cs="Arial"/>
                <w:sz w:val="22"/>
                <w:szCs w:val="22"/>
                <w:lang w:val="es-MX"/>
              </w:rPr>
              <w:t>Instituto de Pensiones del Estado de Jalisco</w:t>
            </w:r>
          </w:p>
        </w:tc>
      </w:tr>
      <w:tr w:rsidR="007E3EE9" w:rsidRPr="00E676E3" w14:paraId="14DE2852" w14:textId="77777777" w:rsidTr="00A5387E">
        <w:trPr>
          <w:trHeight w:val="278"/>
        </w:trPr>
        <w:tc>
          <w:tcPr>
            <w:tcW w:w="2943" w:type="dxa"/>
          </w:tcPr>
          <w:p w14:paraId="4A4F84FE" w14:textId="2F5B411C" w:rsidR="007E3EE9" w:rsidRPr="00E676E3" w:rsidRDefault="007E3EE9" w:rsidP="00071B27">
            <w:pPr>
              <w:rPr>
                <w:rFonts w:asciiTheme="majorHAnsi" w:hAnsiTheme="majorHAnsi" w:cs="Arial"/>
                <w:b/>
                <w:sz w:val="22"/>
                <w:szCs w:val="22"/>
                <w:lang w:val="es-MX"/>
              </w:rPr>
            </w:pPr>
            <w:r w:rsidRPr="00E676E3">
              <w:rPr>
                <w:rFonts w:asciiTheme="majorHAnsi" w:hAnsiTheme="majorHAnsi" w:cs="Arial"/>
                <w:b/>
                <w:sz w:val="22"/>
                <w:szCs w:val="22"/>
                <w:lang w:val="es-MX"/>
              </w:rPr>
              <w:t>Dirección</w:t>
            </w:r>
          </w:p>
        </w:tc>
        <w:tc>
          <w:tcPr>
            <w:tcW w:w="7997" w:type="dxa"/>
          </w:tcPr>
          <w:p w14:paraId="69F8C310" w14:textId="77777777" w:rsidR="00E676E3" w:rsidRPr="00E676E3" w:rsidRDefault="00E676E3" w:rsidP="00071B27">
            <w:pPr>
              <w:rPr>
                <w:rFonts w:asciiTheme="majorHAnsi" w:hAnsiTheme="majorHAnsi" w:cs="Arial"/>
                <w:sz w:val="4"/>
                <w:szCs w:val="22"/>
                <w:lang w:val="es-MX"/>
              </w:rPr>
            </w:pPr>
          </w:p>
          <w:p w14:paraId="05BF2491" w14:textId="77777777" w:rsidR="007E3EE9" w:rsidRPr="00E676E3" w:rsidRDefault="007E3EE9" w:rsidP="00071B27">
            <w:pPr>
              <w:rPr>
                <w:rFonts w:asciiTheme="majorHAnsi" w:hAnsiTheme="majorHAnsi" w:cs="Arial"/>
                <w:sz w:val="22"/>
                <w:szCs w:val="22"/>
                <w:lang w:val="es-MX"/>
              </w:rPr>
            </w:pPr>
            <w:r w:rsidRPr="00E676E3">
              <w:rPr>
                <w:rFonts w:asciiTheme="majorHAnsi" w:hAnsiTheme="majorHAnsi" w:cs="Arial"/>
                <w:sz w:val="22"/>
                <w:szCs w:val="22"/>
                <w:lang w:val="es-MX"/>
              </w:rPr>
              <w:t xml:space="preserve">Av. Magisterio N°1155 </w:t>
            </w:r>
          </w:p>
          <w:p w14:paraId="7334E920" w14:textId="77777777" w:rsidR="007E3EE9" w:rsidRPr="00E676E3" w:rsidRDefault="007E3EE9" w:rsidP="00071B27">
            <w:pPr>
              <w:rPr>
                <w:rFonts w:asciiTheme="majorHAnsi" w:hAnsiTheme="majorHAnsi" w:cs="Arial"/>
                <w:sz w:val="22"/>
                <w:szCs w:val="22"/>
                <w:lang w:val="es-MX"/>
              </w:rPr>
            </w:pPr>
            <w:r w:rsidRPr="00E676E3">
              <w:rPr>
                <w:rFonts w:asciiTheme="majorHAnsi" w:hAnsiTheme="majorHAnsi" w:cs="Arial"/>
                <w:sz w:val="22"/>
                <w:szCs w:val="22"/>
                <w:lang w:val="es-MX"/>
              </w:rPr>
              <w:t>Col. Observatorio</w:t>
            </w:r>
          </w:p>
          <w:p w14:paraId="33A24D80" w14:textId="77777777" w:rsidR="007E3EE9" w:rsidRPr="00E676E3" w:rsidRDefault="007E3EE9" w:rsidP="00071B27">
            <w:pPr>
              <w:rPr>
                <w:rFonts w:asciiTheme="majorHAnsi" w:hAnsiTheme="majorHAnsi" w:cs="Arial"/>
                <w:sz w:val="22"/>
                <w:szCs w:val="22"/>
                <w:lang w:val="es-MX"/>
              </w:rPr>
            </w:pPr>
            <w:r w:rsidRPr="00E676E3">
              <w:rPr>
                <w:rFonts w:asciiTheme="majorHAnsi" w:hAnsiTheme="majorHAnsi" w:cs="Arial"/>
                <w:sz w:val="22"/>
                <w:szCs w:val="22"/>
                <w:lang w:val="es-MX"/>
              </w:rPr>
              <w:t>Guadalajara, Jalisco.</w:t>
            </w:r>
          </w:p>
          <w:p w14:paraId="67ADE2AE" w14:textId="7E076921" w:rsidR="007E3EE9" w:rsidRPr="00E676E3" w:rsidRDefault="007E3EE9" w:rsidP="00071B27">
            <w:pPr>
              <w:rPr>
                <w:rFonts w:asciiTheme="majorHAnsi" w:hAnsiTheme="majorHAnsi" w:cs="Arial"/>
                <w:sz w:val="22"/>
                <w:szCs w:val="22"/>
                <w:lang w:val="es-MX"/>
              </w:rPr>
            </w:pPr>
            <w:r w:rsidRPr="00E676E3">
              <w:rPr>
                <w:rFonts w:asciiTheme="majorHAnsi" w:hAnsiTheme="majorHAnsi" w:cs="Arial"/>
                <w:sz w:val="22"/>
                <w:szCs w:val="22"/>
                <w:lang w:val="es-MX"/>
              </w:rPr>
              <w:t>CP. 44266</w:t>
            </w:r>
          </w:p>
        </w:tc>
      </w:tr>
      <w:tr w:rsidR="007E3EE9" w:rsidRPr="00E676E3" w14:paraId="5817A0E2" w14:textId="77777777" w:rsidTr="00A5387E">
        <w:trPr>
          <w:trHeight w:val="282"/>
        </w:trPr>
        <w:tc>
          <w:tcPr>
            <w:tcW w:w="2943" w:type="dxa"/>
          </w:tcPr>
          <w:p w14:paraId="29BD95FA" w14:textId="7483E4A3" w:rsidR="007E3EE9" w:rsidRPr="00E676E3" w:rsidRDefault="007E3EE9" w:rsidP="00071B27">
            <w:pPr>
              <w:rPr>
                <w:rFonts w:asciiTheme="majorHAnsi" w:hAnsiTheme="majorHAnsi" w:cs="Arial"/>
                <w:b/>
                <w:sz w:val="22"/>
                <w:szCs w:val="22"/>
                <w:lang w:val="es-MX"/>
              </w:rPr>
            </w:pPr>
            <w:r w:rsidRPr="00E676E3">
              <w:rPr>
                <w:rFonts w:asciiTheme="majorHAnsi" w:hAnsiTheme="majorHAnsi" w:cs="Arial"/>
                <w:b/>
                <w:sz w:val="22"/>
                <w:szCs w:val="22"/>
                <w:lang w:val="es-MX"/>
              </w:rPr>
              <w:t>Teléfono</w:t>
            </w:r>
          </w:p>
        </w:tc>
        <w:tc>
          <w:tcPr>
            <w:tcW w:w="7997" w:type="dxa"/>
          </w:tcPr>
          <w:p w14:paraId="0BF25021" w14:textId="77777777" w:rsidR="00E676E3" w:rsidRPr="00E676E3" w:rsidRDefault="00E676E3" w:rsidP="00071B27">
            <w:pPr>
              <w:rPr>
                <w:rFonts w:asciiTheme="majorHAnsi" w:hAnsiTheme="majorHAnsi" w:cs="Arial"/>
                <w:sz w:val="6"/>
                <w:szCs w:val="22"/>
                <w:lang w:val="es-MX"/>
              </w:rPr>
            </w:pPr>
          </w:p>
          <w:p w14:paraId="692F5688" w14:textId="7D591C82" w:rsidR="007E3EE9" w:rsidRPr="00E676E3" w:rsidRDefault="007E3EE9" w:rsidP="00071B27">
            <w:pPr>
              <w:rPr>
                <w:rFonts w:asciiTheme="majorHAnsi" w:hAnsiTheme="majorHAnsi" w:cs="Arial"/>
                <w:sz w:val="22"/>
                <w:szCs w:val="22"/>
                <w:lang w:val="es-MX"/>
              </w:rPr>
            </w:pPr>
            <w:r w:rsidRPr="00E676E3">
              <w:rPr>
                <w:rFonts w:asciiTheme="majorHAnsi" w:hAnsiTheme="majorHAnsi" w:cs="Arial"/>
                <w:sz w:val="22"/>
                <w:szCs w:val="22"/>
                <w:lang w:val="es-MX"/>
              </w:rPr>
              <w:t>32080340</w:t>
            </w:r>
          </w:p>
        </w:tc>
      </w:tr>
      <w:tr w:rsidR="007E3EE9" w:rsidRPr="00E676E3" w14:paraId="18FA8D19" w14:textId="77777777" w:rsidTr="00A5387E">
        <w:trPr>
          <w:trHeight w:val="272"/>
        </w:trPr>
        <w:tc>
          <w:tcPr>
            <w:tcW w:w="2943" w:type="dxa"/>
          </w:tcPr>
          <w:p w14:paraId="1D83D326" w14:textId="3609A68C" w:rsidR="007E3EE9" w:rsidRPr="00E676E3" w:rsidRDefault="007E3EE9" w:rsidP="00071B27">
            <w:pPr>
              <w:rPr>
                <w:rFonts w:asciiTheme="majorHAnsi" w:hAnsiTheme="majorHAnsi" w:cs="Arial"/>
                <w:b/>
                <w:sz w:val="22"/>
                <w:szCs w:val="22"/>
                <w:lang w:val="es-MX"/>
              </w:rPr>
            </w:pPr>
            <w:r w:rsidRPr="00E676E3">
              <w:rPr>
                <w:rFonts w:asciiTheme="majorHAnsi" w:hAnsiTheme="majorHAnsi" w:cs="Arial"/>
                <w:b/>
                <w:sz w:val="22"/>
                <w:szCs w:val="22"/>
                <w:lang w:val="es-MX"/>
              </w:rPr>
              <w:t>Página WEB</w:t>
            </w:r>
          </w:p>
        </w:tc>
        <w:tc>
          <w:tcPr>
            <w:tcW w:w="7997" w:type="dxa"/>
          </w:tcPr>
          <w:p w14:paraId="2AF8200D" w14:textId="77777777" w:rsidR="00E676E3" w:rsidRPr="00E676E3" w:rsidRDefault="00E676E3" w:rsidP="00071B27">
            <w:pPr>
              <w:rPr>
                <w:rFonts w:asciiTheme="majorHAnsi" w:hAnsiTheme="majorHAnsi" w:cs="Arial"/>
                <w:sz w:val="2"/>
                <w:szCs w:val="22"/>
                <w:lang w:val="es-MX"/>
              </w:rPr>
            </w:pPr>
          </w:p>
          <w:p w14:paraId="6548127F" w14:textId="21B7983F" w:rsidR="007E3EE9" w:rsidRPr="00E676E3" w:rsidRDefault="007E3EE9" w:rsidP="00071B27">
            <w:pPr>
              <w:rPr>
                <w:rFonts w:asciiTheme="majorHAnsi" w:hAnsiTheme="majorHAnsi" w:cs="Arial"/>
                <w:sz w:val="22"/>
                <w:szCs w:val="22"/>
                <w:lang w:val="es-MX"/>
              </w:rPr>
            </w:pPr>
            <w:r w:rsidRPr="00E676E3">
              <w:rPr>
                <w:rFonts w:asciiTheme="majorHAnsi" w:hAnsiTheme="majorHAnsi" w:cs="Arial"/>
                <w:sz w:val="22"/>
                <w:szCs w:val="22"/>
                <w:lang w:val="es-MX"/>
              </w:rPr>
              <w:t>www.pensiones.jalisco.gob.mx</w:t>
            </w:r>
          </w:p>
        </w:tc>
      </w:tr>
      <w:tr w:rsidR="007E3EE9" w:rsidRPr="00E676E3" w14:paraId="603D211B" w14:textId="77777777" w:rsidTr="00A5387E">
        <w:trPr>
          <w:trHeight w:val="570"/>
        </w:trPr>
        <w:tc>
          <w:tcPr>
            <w:tcW w:w="2943" w:type="dxa"/>
          </w:tcPr>
          <w:p w14:paraId="5F03AE54" w14:textId="60871BAB" w:rsidR="007E3EE9" w:rsidRPr="00E676E3" w:rsidRDefault="007E3EE9" w:rsidP="00071B27">
            <w:pPr>
              <w:rPr>
                <w:rFonts w:asciiTheme="majorHAnsi" w:hAnsiTheme="majorHAnsi" w:cs="Arial"/>
                <w:b/>
                <w:sz w:val="22"/>
                <w:szCs w:val="22"/>
                <w:lang w:val="es-MX"/>
              </w:rPr>
            </w:pPr>
            <w:r w:rsidRPr="00E676E3">
              <w:rPr>
                <w:rFonts w:asciiTheme="majorHAnsi" w:hAnsiTheme="majorHAnsi" w:cs="Arial"/>
                <w:b/>
                <w:sz w:val="22"/>
                <w:szCs w:val="22"/>
                <w:lang w:val="es-MX"/>
              </w:rPr>
              <w:t>Misión</w:t>
            </w:r>
          </w:p>
        </w:tc>
        <w:tc>
          <w:tcPr>
            <w:tcW w:w="7997" w:type="dxa"/>
          </w:tcPr>
          <w:p w14:paraId="0FB196F0" w14:textId="77777777" w:rsidR="00E676E3" w:rsidRPr="00E676E3" w:rsidRDefault="00E676E3" w:rsidP="00071B27">
            <w:pPr>
              <w:rPr>
                <w:rFonts w:asciiTheme="majorHAnsi" w:hAnsiTheme="majorHAnsi" w:cs="Arial"/>
                <w:sz w:val="6"/>
                <w:szCs w:val="22"/>
                <w:lang w:val="es-MX"/>
              </w:rPr>
            </w:pPr>
          </w:p>
          <w:p w14:paraId="2B43B9D6" w14:textId="3847B75E" w:rsidR="007E3EE9" w:rsidRPr="00E676E3" w:rsidRDefault="007E3EE9" w:rsidP="00071B27">
            <w:pPr>
              <w:rPr>
                <w:rFonts w:asciiTheme="majorHAnsi" w:hAnsiTheme="majorHAnsi" w:cs="Arial"/>
                <w:sz w:val="22"/>
                <w:szCs w:val="22"/>
                <w:lang w:val="es-MX"/>
              </w:rPr>
            </w:pPr>
            <w:r w:rsidRPr="00E676E3">
              <w:rPr>
                <w:rFonts w:asciiTheme="majorHAnsi" w:hAnsiTheme="majorHAnsi" w:cs="Arial"/>
                <w:sz w:val="22"/>
                <w:szCs w:val="22"/>
                <w:lang w:val="es-MX"/>
              </w:rPr>
              <w:t>Proporcionar seguridad social a los afiliados, pensionados y sus beneficiarios, garantizando derechos y beneficios que les permitan mejorar su calidad de vida.</w:t>
            </w:r>
          </w:p>
        </w:tc>
      </w:tr>
      <w:tr w:rsidR="007E3EE9" w:rsidRPr="00E676E3" w14:paraId="66B877ED" w14:textId="77777777" w:rsidTr="00A5387E">
        <w:trPr>
          <w:trHeight w:val="890"/>
        </w:trPr>
        <w:tc>
          <w:tcPr>
            <w:tcW w:w="2943" w:type="dxa"/>
          </w:tcPr>
          <w:p w14:paraId="242BE4E6" w14:textId="5C6F93AD" w:rsidR="007E3EE9" w:rsidRPr="00E676E3" w:rsidRDefault="007E3EE9" w:rsidP="00071B27">
            <w:pPr>
              <w:rPr>
                <w:rFonts w:asciiTheme="majorHAnsi" w:hAnsiTheme="majorHAnsi" w:cs="Arial"/>
                <w:b/>
                <w:sz w:val="22"/>
                <w:szCs w:val="22"/>
                <w:lang w:val="es-MX"/>
              </w:rPr>
            </w:pPr>
            <w:r w:rsidRPr="00E676E3">
              <w:rPr>
                <w:rFonts w:asciiTheme="majorHAnsi" w:hAnsiTheme="majorHAnsi" w:cs="Arial"/>
                <w:b/>
                <w:sz w:val="22"/>
                <w:szCs w:val="22"/>
                <w:lang w:val="es-MX"/>
              </w:rPr>
              <w:t>Visión</w:t>
            </w:r>
          </w:p>
        </w:tc>
        <w:tc>
          <w:tcPr>
            <w:tcW w:w="7997" w:type="dxa"/>
          </w:tcPr>
          <w:p w14:paraId="0A6697A1" w14:textId="77777777" w:rsidR="00E676E3" w:rsidRPr="00E676E3" w:rsidRDefault="00E676E3" w:rsidP="00071B27">
            <w:pPr>
              <w:rPr>
                <w:rFonts w:asciiTheme="majorHAnsi" w:hAnsiTheme="majorHAnsi" w:cs="Arial"/>
                <w:sz w:val="6"/>
                <w:szCs w:val="22"/>
                <w:lang w:val="es-MX"/>
              </w:rPr>
            </w:pPr>
          </w:p>
          <w:p w14:paraId="42F90819" w14:textId="4BD084BC" w:rsidR="007E3EE9" w:rsidRPr="00E676E3" w:rsidRDefault="007E3EE9" w:rsidP="00071B27">
            <w:pPr>
              <w:rPr>
                <w:rFonts w:asciiTheme="majorHAnsi" w:hAnsiTheme="majorHAnsi" w:cs="Arial"/>
                <w:sz w:val="22"/>
                <w:szCs w:val="22"/>
                <w:lang w:val="es-MX"/>
              </w:rPr>
            </w:pPr>
            <w:r w:rsidRPr="00E676E3">
              <w:rPr>
                <w:rFonts w:asciiTheme="majorHAnsi" w:hAnsiTheme="majorHAnsi" w:cs="Arial"/>
                <w:sz w:val="22"/>
                <w:szCs w:val="22"/>
                <w:lang w:val="es-MX"/>
              </w:rPr>
              <w:t>Ser una Institución transparente, de vanguardia y con solvencia financiera, que garantice prestaciones accesibles y oportunas con calidad y calidez a sus afiliados, pensionados y beneficiarios.</w:t>
            </w:r>
          </w:p>
        </w:tc>
      </w:tr>
      <w:tr w:rsidR="00A5387E" w:rsidRPr="00E676E3" w14:paraId="433E87E1" w14:textId="77777777" w:rsidTr="00A5387E">
        <w:trPr>
          <w:trHeight w:val="284"/>
        </w:trPr>
        <w:tc>
          <w:tcPr>
            <w:tcW w:w="2943" w:type="dxa"/>
          </w:tcPr>
          <w:p w14:paraId="4DDDBEED" w14:textId="15E8F79D" w:rsidR="00A5387E" w:rsidRPr="00E676E3" w:rsidRDefault="00A5387E" w:rsidP="00071B27">
            <w:pPr>
              <w:rPr>
                <w:rFonts w:asciiTheme="majorHAnsi" w:hAnsiTheme="majorHAnsi" w:cs="Arial"/>
                <w:b/>
                <w:sz w:val="22"/>
                <w:szCs w:val="22"/>
                <w:lang w:val="es-MX"/>
              </w:rPr>
            </w:pPr>
            <w:r w:rsidRPr="00E676E3">
              <w:rPr>
                <w:rFonts w:asciiTheme="majorHAnsi" w:hAnsiTheme="majorHAnsi" w:cs="Arial"/>
                <w:b/>
                <w:sz w:val="22"/>
                <w:szCs w:val="22"/>
                <w:lang w:val="es-MX"/>
              </w:rPr>
              <w:t>Fecha de elaboración del PAA</w:t>
            </w:r>
          </w:p>
        </w:tc>
        <w:tc>
          <w:tcPr>
            <w:tcW w:w="7997" w:type="dxa"/>
          </w:tcPr>
          <w:p w14:paraId="25700972" w14:textId="77777777" w:rsidR="00A5387E" w:rsidRPr="00E676E3" w:rsidRDefault="00A5387E" w:rsidP="00071B27">
            <w:pPr>
              <w:rPr>
                <w:rFonts w:asciiTheme="majorHAnsi" w:hAnsiTheme="majorHAnsi" w:cs="Arial"/>
                <w:sz w:val="6"/>
                <w:szCs w:val="22"/>
                <w:lang w:val="es-MX"/>
              </w:rPr>
            </w:pPr>
          </w:p>
          <w:p w14:paraId="4EF25F4A" w14:textId="6305D34F" w:rsidR="00A5387E" w:rsidRPr="00E676E3" w:rsidRDefault="007171B7" w:rsidP="006344ED">
            <w:pPr>
              <w:rPr>
                <w:rFonts w:asciiTheme="majorHAnsi" w:hAnsiTheme="majorHAnsi" w:cs="Arial"/>
                <w:sz w:val="22"/>
                <w:szCs w:val="22"/>
                <w:lang w:val="es-MX"/>
              </w:rPr>
            </w:pPr>
            <w:r w:rsidRPr="007171B7">
              <w:rPr>
                <w:rFonts w:asciiTheme="majorHAnsi" w:hAnsiTheme="majorHAnsi" w:cs="Arial"/>
                <w:sz w:val="22"/>
                <w:szCs w:val="22"/>
                <w:lang w:val="es-MX"/>
              </w:rPr>
              <w:t>Agosto del 202</w:t>
            </w:r>
            <w:r w:rsidR="006344ED">
              <w:rPr>
                <w:rFonts w:asciiTheme="majorHAnsi" w:hAnsiTheme="majorHAnsi" w:cs="Arial"/>
                <w:sz w:val="22"/>
                <w:szCs w:val="22"/>
                <w:lang w:val="es-MX"/>
              </w:rPr>
              <w:t>0</w:t>
            </w:r>
          </w:p>
        </w:tc>
      </w:tr>
    </w:tbl>
    <w:p w14:paraId="79CDCEC9" w14:textId="77777777" w:rsidR="000628D4" w:rsidRDefault="000628D4" w:rsidP="00071B27">
      <w:pPr>
        <w:rPr>
          <w:rFonts w:asciiTheme="majorHAnsi" w:hAnsiTheme="majorHAnsi" w:cs="Arial"/>
          <w:b/>
          <w:sz w:val="22"/>
          <w:szCs w:val="22"/>
          <w:lang w:val="es-MX"/>
        </w:rPr>
      </w:pPr>
    </w:p>
    <w:p w14:paraId="2EB78898" w14:textId="77777777" w:rsidR="000628D4" w:rsidRDefault="000628D4" w:rsidP="00071B27">
      <w:pPr>
        <w:rPr>
          <w:rFonts w:asciiTheme="majorHAnsi" w:hAnsiTheme="majorHAnsi" w:cs="Arial"/>
          <w:b/>
          <w:sz w:val="22"/>
          <w:szCs w:val="22"/>
          <w:lang w:val="es-MX"/>
        </w:rPr>
      </w:pPr>
    </w:p>
    <w:p w14:paraId="52000696" w14:textId="77777777" w:rsidR="000628D4" w:rsidRDefault="000628D4" w:rsidP="00071B27">
      <w:pPr>
        <w:rPr>
          <w:rFonts w:asciiTheme="majorHAnsi" w:hAnsiTheme="majorHAnsi" w:cs="Arial"/>
          <w:b/>
          <w:sz w:val="22"/>
          <w:szCs w:val="22"/>
          <w:lang w:val="es-MX"/>
        </w:rPr>
      </w:pPr>
    </w:p>
    <w:p w14:paraId="66097A63" w14:textId="77777777" w:rsidR="000628D4" w:rsidRDefault="000628D4" w:rsidP="00071B27">
      <w:pPr>
        <w:rPr>
          <w:rFonts w:asciiTheme="majorHAnsi" w:hAnsiTheme="majorHAnsi" w:cs="Arial"/>
          <w:b/>
          <w:sz w:val="22"/>
          <w:szCs w:val="22"/>
          <w:lang w:val="es-MX"/>
        </w:rPr>
      </w:pPr>
    </w:p>
    <w:p w14:paraId="03AC1910" w14:textId="77777777" w:rsidR="000C4C36" w:rsidRDefault="000C4C36" w:rsidP="00071B27">
      <w:pPr>
        <w:rPr>
          <w:rFonts w:asciiTheme="majorHAnsi" w:hAnsiTheme="majorHAnsi" w:cs="Arial"/>
          <w:b/>
          <w:sz w:val="22"/>
          <w:szCs w:val="22"/>
          <w:lang w:val="es-MX"/>
        </w:rPr>
      </w:pPr>
    </w:p>
    <w:p w14:paraId="3BE3BEBE" w14:textId="6782F059" w:rsidR="004975EB" w:rsidRPr="000628D4" w:rsidRDefault="00E676E3" w:rsidP="00071B27">
      <w:pPr>
        <w:rPr>
          <w:rFonts w:asciiTheme="majorHAnsi" w:hAnsiTheme="majorHAnsi" w:cs="Arial"/>
          <w:b/>
          <w:sz w:val="22"/>
          <w:szCs w:val="22"/>
          <w:lang w:val="es-MX"/>
        </w:rPr>
      </w:pPr>
      <w:r w:rsidRPr="00E676E3">
        <w:rPr>
          <w:rFonts w:asciiTheme="majorHAnsi" w:hAnsiTheme="majorHAnsi" w:cs="Arial"/>
          <w:b/>
          <w:sz w:val="22"/>
          <w:szCs w:val="22"/>
          <w:lang w:val="es-MX"/>
        </w:rPr>
        <w:t>MONTOS DEL INSTITUTO DE</w:t>
      </w:r>
      <w:r>
        <w:rPr>
          <w:rFonts w:asciiTheme="majorHAnsi" w:hAnsiTheme="majorHAnsi" w:cs="Arial"/>
          <w:b/>
          <w:sz w:val="22"/>
          <w:szCs w:val="22"/>
          <w:lang w:val="es-MX"/>
        </w:rPr>
        <w:t xml:space="preserve"> PENSIONES DEL ESTADO DE JALISC</w:t>
      </w:r>
      <w:r w:rsidRPr="00E676E3">
        <w:rPr>
          <w:rFonts w:asciiTheme="majorHAnsi" w:hAnsiTheme="majorHAnsi" w:cs="Arial"/>
          <w:b/>
          <w:sz w:val="22"/>
          <w:szCs w:val="22"/>
          <w:lang w:val="es-MX"/>
        </w:rPr>
        <w:t>O</w:t>
      </w:r>
      <w:r>
        <w:rPr>
          <w:rFonts w:asciiTheme="majorHAnsi" w:hAnsiTheme="majorHAnsi" w:cs="Arial"/>
          <w:b/>
          <w:sz w:val="22"/>
          <w:szCs w:val="22"/>
          <w:lang w:val="es-MX"/>
        </w:rPr>
        <w:t>.</w:t>
      </w:r>
    </w:p>
    <w:tbl>
      <w:tblPr>
        <w:tblStyle w:val="Tablaconcuadrcula"/>
        <w:tblW w:w="0" w:type="auto"/>
        <w:tblLook w:val="04A0" w:firstRow="1" w:lastRow="0" w:firstColumn="1" w:lastColumn="0" w:noHBand="0" w:noVBand="1"/>
      </w:tblPr>
      <w:tblGrid>
        <w:gridCol w:w="1151"/>
        <w:gridCol w:w="1151"/>
        <w:gridCol w:w="1220"/>
        <w:gridCol w:w="1241"/>
        <w:gridCol w:w="1451"/>
        <w:gridCol w:w="1451"/>
        <w:gridCol w:w="1389"/>
      </w:tblGrid>
      <w:tr w:rsidR="007171B7" w14:paraId="48400D7F" w14:textId="77777777" w:rsidTr="007171B7">
        <w:tc>
          <w:tcPr>
            <w:tcW w:w="1384" w:type="dxa"/>
            <w:shd w:val="clear" w:color="auto" w:fill="D9D9D9" w:themeFill="background1" w:themeFillShade="D9"/>
          </w:tcPr>
          <w:p w14:paraId="3D659B80" w14:textId="77777777" w:rsidR="007171B7" w:rsidRPr="00E676E3" w:rsidRDefault="007171B7" w:rsidP="00E676E3">
            <w:pPr>
              <w:jc w:val="center"/>
              <w:rPr>
                <w:rFonts w:asciiTheme="majorHAnsi" w:hAnsiTheme="majorHAnsi" w:cs="Arial"/>
                <w:b/>
                <w:sz w:val="22"/>
                <w:szCs w:val="22"/>
                <w:lang w:val="es-MX"/>
              </w:rPr>
            </w:pPr>
          </w:p>
          <w:p w14:paraId="3B5EE378" w14:textId="65B2225B" w:rsidR="007171B7" w:rsidRPr="00E676E3" w:rsidRDefault="007171B7" w:rsidP="00E676E3">
            <w:pPr>
              <w:jc w:val="center"/>
              <w:rPr>
                <w:rFonts w:asciiTheme="majorHAnsi" w:hAnsiTheme="majorHAnsi" w:cs="Arial"/>
                <w:b/>
                <w:sz w:val="22"/>
                <w:szCs w:val="22"/>
                <w:lang w:val="es-MX"/>
              </w:rPr>
            </w:pPr>
            <w:r w:rsidRPr="00E676E3">
              <w:rPr>
                <w:rFonts w:asciiTheme="majorHAnsi" w:hAnsiTheme="majorHAnsi" w:cs="Arial"/>
                <w:b/>
                <w:sz w:val="22"/>
                <w:szCs w:val="22"/>
                <w:lang w:val="es-MX"/>
              </w:rPr>
              <w:t>DE</w:t>
            </w:r>
          </w:p>
        </w:tc>
        <w:tc>
          <w:tcPr>
            <w:tcW w:w="1336" w:type="dxa"/>
            <w:shd w:val="clear" w:color="auto" w:fill="D9D9D9" w:themeFill="background1" w:themeFillShade="D9"/>
          </w:tcPr>
          <w:p w14:paraId="7E0B59A9" w14:textId="77777777" w:rsidR="007171B7" w:rsidRPr="00E676E3" w:rsidRDefault="007171B7" w:rsidP="00E676E3">
            <w:pPr>
              <w:jc w:val="center"/>
              <w:rPr>
                <w:rFonts w:asciiTheme="majorHAnsi" w:hAnsiTheme="majorHAnsi" w:cs="Arial"/>
                <w:b/>
                <w:sz w:val="22"/>
                <w:szCs w:val="22"/>
                <w:lang w:val="es-MX"/>
              </w:rPr>
            </w:pPr>
          </w:p>
          <w:p w14:paraId="424944A4" w14:textId="7DDCFA1C" w:rsidR="007171B7" w:rsidRPr="00E676E3" w:rsidRDefault="007171B7" w:rsidP="00E676E3">
            <w:pPr>
              <w:jc w:val="center"/>
              <w:rPr>
                <w:rFonts w:asciiTheme="majorHAnsi" w:hAnsiTheme="majorHAnsi" w:cs="Arial"/>
                <w:b/>
                <w:sz w:val="22"/>
                <w:szCs w:val="22"/>
                <w:lang w:val="es-MX"/>
              </w:rPr>
            </w:pPr>
            <w:r w:rsidRPr="00E676E3">
              <w:rPr>
                <w:rFonts w:asciiTheme="majorHAnsi" w:hAnsiTheme="majorHAnsi" w:cs="Arial"/>
                <w:b/>
                <w:sz w:val="22"/>
                <w:szCs w:val="22"/>
                <w:lang w:val="es-MX"/>
              </w:rPr>
              <w:t>HASTA</w:t>
            </w:r>
          </w:p>
        </w:tc>
        <w:tc>
          <w:tcPr>
            <w:tcW w:w="2049" w:type="dxa"/>
            <w:shd w:val="clear" w:color="auto" w:fill="D9D9D9" w:themeFill="background1" w:themeFillShade="D9"/>
          </w:tcPr>
          <w:p w14:paraId="147B9245" w14:textId="77777777" w:rsidR="007171B7" w:rsidRPr="00E676E3" w:rsidRDefault="007171B7" w:rsidP="00E676E3">
            <w:pPr>
              <w:jc w:val="center"/>
              <w:rPr>
                <w:rFonts w:asciiTheme="majorHAnsi" w:hAnsiTheme="majorHAnsi" w:cs="Arial"/>
                <w:b/>
                <w:sz w:val="22"/>
                <w:szCs w:val="22"/>
                <w:lang w:val="es-MX"/>
              </w:rPr>
            </w:pPr>
          </w:p>
          <w:p w14:paraId="0FDB1D73" w14:textId="21740A72" w:rsidR="007171B7" w:rsidRPr="00E676E3" w:rsidRDefault="007171B7" w:rsidP="00E676E3">
            <w:pPr>
              <w:jc w:val="center"/>
              <w:rPr>
                <w:rFonts w:asciiTheme="majorHAnsi" w:hAnsiTheme="majorHAnsi" w:cs="Arial"/>
                <w:b/>
                <w:sz w:val="22"/>
                <w:szCs w:val="22"/>
                <w:lang w:val="es-MX"/>
              </w:rPr>
            </w:pPr>
            <w:r w:rsidRPr="00E676E3">
              <w:rPr>
                <w:rFonts w:asciiTheme="majorHAnsi" w:hAnsiTheme="majorHAnsi" w:cs="Arial"/>
                <w:b/>
                <w:sz w:val="22"/>
                <w:szCs w:val="22"/>
                <w:lang w:val="es-MX"/>
              </w:rPr>
              <w:t>FONDO REVOLVENTE</w:t>
            </w:r>
          </w:p>
        </w:tc>
        <w:tc>
          <w:tcPr>
            <w:tcW w:w="1010" w:type="dxa"/>
            <w:shd w:val="clear" w:color="auto" w:fill="D9D9D9" w:themeFill="background1" w:themeFillShade="D9"/>
          </w:tcPr>
          <w:p w14:paraId="53B3A66A" w14:textId="77777777" w:rsidR="007171B7" w:rsidRDefault="007171B7" w:rsidP="00E676E3">
            <w:pPr>
              <w:jc w:val="center"/>
              <w:rPr>
                <w:rFonts w:asciiTheme="majorHAnsi" w:hAnsiTheme="majorHAnsi" w:cs="Arial"/>
                <w:b/>
                <w:sz w:val="22"/>
                <w:szCs w:val="22"/>
                <w:lang w:val="es-MX"/>
              </w:rPr>
            </w:pPr>
          </w:p>
          <w:p w14:paraId="69E270CB" w14:textId="3D111732" w:rsidR="007171B7" w:rsidRPr="00E676E3" w:rsidRDefault="007171B7" w:rsidP="00E676E3">
            <w:pPr>
              <w:jc w:val="center"/>
              <w:rPr>
                <w:rFonts w:asciiTheme="majorHAnsi" w:hAnsiTheme="majorHAnsi" w:cs="Arial"/>
                <w:b/>
                <w:sz w:val="22"/>
                <w:szCs w:val="22"/>
                <w:lang w:val="es-MX"/>
              </w:rPr>
            </w:pPr>
            <w:r>
              <w:rPr>
                <w:rFonts w:asciiTheme="majorHAnsi" w:hAnsiTheme="majorHAnsi" w:cs="Arial"/>
                <w:b/>
                <w:sz w:val="22"/>
                <w:szCs w:val="22"/>
                <w:lang w:val="es-MX"/>
              </w:rPr>
              <w:t>GASTO POR COMPROBAR</w:t>
            </w:r>
          </w:p>
        </w:tc>
        <w:tc>
          <w:tcPr>
            <w:tcW w:w="1758" w:type="dxa"/>
            <w:shd w:val="clear" w:color="auto" w:fill="D9D9D9" w:themeFill="background1" w:themeFillShade="D9"/>
          </w:tcPr>
          <w:p w14:paraId="64057E65" w14:textId="66DA9065" w:rsidR="007171B7" w:rsidRPr="00E676E3" w:rsidRDefault="007171B7" w:rsidP="00E676E3">
            <w:pPr>
              <w:jc w:val="center"/>
              <w:rPr>
                <w:rFonts w:asciiTheme="majorHAnsi" w:hAnsiTheme="majorHAnsi" w:cs="Arial"/>
                <w:b/>
                <w:sz w:val="22"/>
                <w:szCs w:val="22"/>
                <w:lang w:val="es-MX"/>
              </w:rPr>
            </w:pPr>
            <w:r w:rsidRPr="00E676E3">
              <w:rPr>
                <w:rFonts w:asciiTheme="majorHAnsi" w:hAnsiTheme="majorHAnsi" w:cs="Arial"/>
                <w:b/>
                <w:sz w:val="22"/>
                <w:szCs w:val="22"/>
                <w:lang w:val="es-MX"/>
              </w:rPr>
              <w:t>LICITACIÓN SIN CONCURRENCIA DEL COMITÉ</w:t>
            </w:r>
          </w:p>
        </w:tc>
        <w:tc>
          <w:tcPr>
            <w:tcW w:w="1758" w:type="dxa"/>
            <w:shd w:val="clear" w:color="auto" w:fill="D9D9D9" w:themeFill="background1" w:themeFillShade="D9"/>
          </w:tcPr>
          <w:p w14:paraId="41CEDCAE" w14:textId="71BEE29C" w:rsidR="007171B7" w:rsidRPr="00E676E3" w:rsidRDefault="007171B7" w:rsidP="00E676E3">
            <w:pPr>
              <w:jc w:val="center"/>
              <w:rPr>
                <w:rFonts w:asciiTheme="majorHAnsi" w:hAnsiTheme="majorHAnsi" w:cs="Arial"/>
                <w:b/>
                <w:sz w:val="22"/>
                <w:szCs w:val="22"/>
                <w:lang w:val="es-MX"/>
              </w:rPr>
            </w:pPr>
            <w:r w:rsidRPr="00E676E3">
              <w:rPr>
                <w:rFonts w:asciiTheme="majorHAnsi" w:hAnsiTheme="majorHAnsi" w:cs="Arial"/>
                <w:b/>
                <w:sz w:val="22"/>
                <w:szCs w:val="22"/>
                <w:lang w:val="es-MX"/>
              </w:rPr>
              <w:t>LICITACIÓN CON CONCURRENCIA DEL COMITÉ</w:t>
            </w:r>
          </w:p>
        </w:tc>
        <w:tc>
          <w:tcPr>
            <w:tcW w:w="1721" w:type="dxa"/>
            <w:shd w:val="clear" w:color="auto" w:fill="D9D9D9" w:themeFill="background1" w:themeFillShade="D9"/>
          </w:tcPr>
          <w:p w14:paraId="63A72DDE" w14:textId="77777777" w:rsidR="007171B7" w:rsidRPr="00E676E3" w:rsidRDefault="007171B7" w:rsidP="00E676E3">
            <w:pPr>
              <w:jc w:val="center"/>
              <w:rPr>
                <w:rFonts w:asciiTheme="majorHAnsi" w:hAnsiTheme="majorHAnsi" w:cs="Arial"/>
                <w:b/>
                <w:sz w:val="22"/>
                <w:szCs w:val="22"/>
                <w:lang w:val="es-MX"/>
              </w:rPr>
            </w:pPr>
          </w:p>
          <w:p w14:paraId="37F4DFF2" w14:textId="358A2A21" w:rsidR="007171B7" w:rsidRPr="00E676E3" w:rsidRDefault="007171B7" w:rsidP="00E676E3">
            <w:pPr>
              <w:jc w:val="center"/>
              <w:rPr>
                <w:rFonts w:asciiTheme="majorHAnsi" w:hAnsiTheme="majorHAnsi" w:cs="Arial"/>
                <w:b/>
                <w:sz w:val="22"/>
                <w:szCs w:val="22"/>
                <w:lang w:val="es-MX"/>
              </w:rPr>
            </w:pPr>
            <w:r w:rsidRPr="00E676E3">
              <w:rPr>
                <w:rFonts w:asciiTheme="majorHAnsi" w:hAnsiTheme="majorHAnsi" w:cs="Arial"/>
                <w:b/>
                <w:sz w:val="22"/>
                <w:szCs w:val="22"/>
                <w:lang w:val="es-MX"/>
              </w:rPr>
              <w:t>ADJUDICACIÓN DIRECTA</w:t>
            </w:r>
          </w:p>
        </w:tc>
      </w:tr>
      <w:tr w:rsidR="007171B7" w14:paraId="0011D301" w14:textId="77777777" w:rsidTr="007171B7">
        <w:tc>
          <w:tcPr>
            <w:tcW w:w="1384" w:type="dxa"/>
          </w:tcPr>
          <w:p w14:paraId="5C529F05" w14:textId="341A4F79" w:rsidR="007171B7" w:rsidRPr="002052F2" w:rsidRDefault="007171B7" w:rsidP="00E676E3">
            <w:pPr>
              <w:rPr>
                <w:rFonts w:asciiTheme="majorHAnsi" w:hAnsiTheme="majorHAnsi" w:cs="Arial"/>
                <w:b/>
                <w:sz w:val="22"/>
                <w:szCs w:val="22"/>
                <w:lang w:val="es-MX"/>
              </w:rPr>
            </w:pPr>
            <w:r w:rsidRPr="002052F2">
              <w:rPr>
                <w:rFonts w:asciiTheme="majorHAnsi" w:hAnsiTheme="majorHAnsi" w:cs="Arial"/>
                <w:b/>
                <w:sz w:val="22"/>
                <w:szCs w:val="22"/>
                <w:lang w:val="es-MX"/>
              </w:rPr>
              <w:t>$0.00</w:t>
            </w:r>
          </w:p>
        </w:tc>
        <w:tc>
          <w:tcPr>
            <w:tcW w:w="1336" w:type="dxa"/>
          </w:tcPr>
          <w:p w14:paraId="68AB7382" w14:textId="0FF5F777" w:rsidR="007171B7" w:rsidRPr="002052F2" w:rsidRDefault="007171B7" w:rsidP="002052F2">
            <w:pPr>
              <w:rPr>
                <w:rFonts w:asciiTheme="majorHAnsi" w:hAnsiTheme="majorHAnsi" w:cs="Arial"/>
                <w:b/>
                <w:sz w:val="22"/>
                <w:szCs w:val="22"/>
                <w:lang w:val="es-MX"/>
              </w:rPr>
            </w:pPr>
            <w:r w:rsidRPr="002052F2">
              <w:rPr>
                <w:rFonts w:asciiTheme="majorHAnsi" w:hAnsiTheme="majorHAnsi" w:cs="Arial"/>
                <w:b/>
                <w:sz w:val="22"/>
                <w:szCs w:val="22"/>
                <w:lang w:val="es-MX"/>
              </w:rPr>
              <w:t>$2,000.00</w:t>
            </w:r>
            <w:r w:rsidR="002052F2">
              <w:rPr>
                <w:rFonts w:asciiTheme="majorHAnsi" w:hAnsiTheme="majorHAnsi" w:cs="Arial"/>
                <w:b/>
                <w:sz w:val="22"/>
                <w:szCs w:val="22"/>
                <w:lang w:val="es-MX"/>
              </w:rPr>
              <w:t xml:space="preserve"> </w:t>
            </w:r>
          </w:p>
        </w:tc>
        <w:tc>
          <w:tcPr>
            <w:tcW w:w="2049" w:type="dxa"/>
          </w:tcPr>
          <w:p w14:paraId="147B2343" w14:textId="4AA00834" w:rsidR="007171B7" w:rsidRPr="00E676E3" w:rsidRDefault="007171B7" w:rsidP="00E676E3">
            <w:pPr>
              <w:jc w:val="center"/>
              <w:rPr>
                <w:rFonts w:asciiTheme="majorHAnsi" w:hAnsiTheme="majorHAnsi" w:cs="Arial"/>
                <w:b/>
                <w:sz w:val="22"/>
                <w:szCs w:val="22"/>
                <w:lang w:val="es-MX"/>
              </w:rPr>
            </w:pPr>
            <w:r w:rsidRPr="00E676E3">
              <w:rPr>
                <w:rFonts w:asciiTheme="majorHAnsi" w:hAnsiTheme="majorHAnsi" w:cs="Arial"/>
                <w:b/>
                <w:sz w:val="22"/>
                <w:szCs w:val="22"/>
                <w:lang w:val="es-MX"/>
              </w:rPr>
              <w:t>X</w:t>
            </w:r>
          </w:p>
        </w:tc>
        <w:tc>
          <w:tcPr>
            <w:tcW w:w="1010" w:type="dxa"/>
          </w:tcPr>
          <w:p w14:paraId="499B3EBC" w14:textId="77777777" w:rsidR="007171B7" w:rsidRPr="00E676E3" w:rsidRDefault="007171B7" w:rsidP="00E676E3">
            <w:pPr>
              <w:jc w:val="center"/>
              <w:rPr>
                <w:rFonts w:asciiTheme="majorHAnsi" w:hAnsiTheme="majorHAnsi" w:cs="Arial"/>
                <w:b/>
                <w:sz w:val="22"/>
                <w:szCs w:val="22"/>
                <w:lang w:val="es-MX"/>
              </w:rPr>
            </w:pPr>
          </w:p>
        </w:tc>
        <w:tc>
          <w:tcPr>
            <w:tcW w:w="1758" w:type="dxa"/>
          </w:tcPr>
          <w:p w14:paraId="53047D6E" w14:textId="2F0E107C" w:rsidR="007171B7" w:rsidRPr="00E676E3" w:rsidRDefault="007171B7" w:rsidP="00E676E3">
            <w:pPr>
              <w:jc w:val="center"/>
              <w:rPr>
                <w:rFonts w:asciiTheme="majorHAnsi" w:hAnsiTheme="majorHAnsi" w:cs="Arial"/>
                <w:b/>
                <w:sz w:val="22"/>
                <w:szCs w:val="22"/>
                <w:lang w:val="es-MX"/>
              </w:rPr>
            </w:pPr>
          </w:p>
        </w:tc>
        <w:tc>
          <w:tcPr>
            <w:tcW w:w="1758" w:type="dxa"/>
          </w:tcPr>
          <w:p w14:paraId="6E4CD8B9" w14:textId="77777777" w:rsidR="007171B7" w:rsidRPr="00E676E3" w:rsidRDefault="007171B7" w:rsidP="00E676E3">
            <w:pPr>
              <w:jc w:val="center"/>
              <w:rPr>
                <w:rFonts w:asciiTheme="majorHAnsi" w:hAnsiTheme="majorHAnsi" w:cs="Arial"/>
                <w:b/>
                <w:sz w:val="22"/>
                <w:szCs w:val="22"/>
                <w:lang w:val="es-MX"/>
              </w:rPr>
            </w:pPr>
          </w:p>
        </w:tc>
        <w:tc>
          <w:tcPr>
            <w:tcW w:w="1721" w:type="dxa"/>
          </w:tcPr>
          <w:p w14:paraId="15232367" w14:textId="77777777" w:rsidR="007171B7" w:rsidRPr="00E676E3" w:rsidRDefault="007171B7" w:rsidP="00E676E3">
            <w:pPr>
              <w:jc w:val="center"/>
              <w:rPr>
                <w:rFonts w:asciiTheme="majorHAnsi" w:hAnsiTheme="majorHAnsi" w:cs="Arial"/>
                <w:b/>
                <w:sz w:val="22"/>
                <w:szCs w:val="22"/>
                <w:lang w:val="es-MX"/>
              </w:rPr>
            </w:pPr>
          </w:p>
        </w:tc>
      </w:tr>
      <w:tr w:rsidR="007171B7" w14:paraId="26DCB3FD" w14:textId="77777777" w:rsidTr="007171B7">
        <w:tc>
          <w:tcPr>
            <w:tcW w:w="1384" w:type="dxa"/>
          </w:tcPr>
          <w:p w14:paraId="0E796205" w14:textId="0EC6B860" w:rsidR="007171B7" w:rsidRPr="002052F2" w:rsidRDefault="007171B7" w:rsidP="00E676E3">
            <w:pPr>
              <w:rPr>
                <w:rFonts w:asciiTheme="majorHAnsi" w:hAnsiTheme="majorHAnsi" w:cs="Arial"/>
                <w:b/>
                <w:sz w:val="22"/>
                <w:szCs w:val="22"/>
                <w:lang w:val="es-MX"/>
              </w:rPr>
            </w:pPr>
            <w:r w:rsidRPr="002052F2">
              <w:rPr>
                <w:rFonts w:asciiTheme="majorHAnsi" w:hAnsiTheme="majorHAnsi" w:cs="Arial"/>
                <w:b/>
                <w:sz w:val="22"/>
                <w:szCs w:val="22"/>
                <w:lang w:val="es-MX"/>
              </w:rPr>
              <w:t>$2,000.01</w:t>
            </w:r>
          </w:p>
        </w:tc>
        <w:tc>
          <w:tcPr>
            <w:tcW w:w="1336" w:type="dxa"/>
          </w:tcPr>
          <w:p w14:paraId="61B2244B" w14:textId="60BC6618" w:rsidR="007171B7" w:rsidRPr="002052F2" w:rsidRDefault="002052F2" w:rsidP="00E676E3">
            <w:pPr>
              <w:rPr>
                <w:rFonts w:asciiTheme="majorHAnsi" w:hAnsiTheme="majorHAnsi" w:cs="Arial"/>
                <w:b/>
                <w:sz w:val="22"/>
                <w:szCs w:val="22"/>
                <w:lang w:val="es-MX"/>
              </w:rPr>
            </w:pPr>
            <w:r w:rsidRPr="002052F2">
              <w:rPr>
                <w:rFonts w:asciiTheme="majorHAnsi" w:hAnsiTheme="majorHAnsi" w:cs="Arial"/>
                <w:b/>
                <w:sz w:val="22"/>
                <w:szCs w:val="22"/>
                <w:lang w:val="es-MX"/>
              </w:rPr>
              <w:t>$12,500.00</w:t>
            </w:r>
          </w:p>
        </w:tc>
        <w:tc>
          <w:tcPr>
            <w:tcW w:w="2049" w:type="dxa"/>
          </w:tcPr>
          <w:p w14:paraId="0A274038" w14:textId="77777777" w:rsidR="007171B7" w:rsidRPr="00E676E3" w:rsidRDefault="007171B7" w:rsidP="00E676E3">
            <w:pPr>
              <w:jc w:val="center"/>
              <w:rPr>
                <w:rFonts w:asciiTheme="majorHAnsi" w:hAnsiTheme="majorHAnsi" w:cs="Arial"/>
                <w:b/>
                <w:sz w:val="22"/>
                <w:szCs w:val="22"/>
                <w:lang w:val="es-MX"/>
              </w:rPr>
            </w:pPr>
          </w:p>
        </w:tc>
        <w:tc>
          <w:tcPr>
            <w:tcW w:w="1010" w:type="dxa"/>
          </w:tcPr>
          <w:p w14:paraId="1ED75832" w14:textId="6A234CB2" w:rsidR="007171B7" w:rsidRPr="00E676E3" w:rsidRDefault="002052F2" w:rsidP="00E676E3">
            <w:pPr>
              <w:jc w:val="center"/>
              <w:rPr>
                <w:rFonts w:asciiTheme="majorHAnsi" w:hAnsiTheme="majorHAnsi" w:cs="Arial"/>
                <w:b/>
                <w:sz w:val="22"/>
                <w:szCs w:val="22"/>
                <w:lang w:val="es-MX"/>
              </w:rPr>
            </w:pPr>
            <w:r>
              <w:rPr>
                <w:rFonts w:asciiTheme="majorHAnsi" w:hAnsiTheme="majorHAnsi" w:cs="Arial"/>
                <w:b/>
                <w:sz w:val="22"/>
                <w:szCs w:val="22"/>
                <w:lang w:val="es-MX"/>
              </w:rPr>
              <w:t>X</w:t>
            </w:r>
          </w:p>
        </w:tc>
        <w:tc>
          <w:tcPr>
            <w:tcW w:w="1758" w:type="dxa"/>
          </w:tcPr>
          <w:p w14:paraId="465F4450" w14:textId="77777777" w:rsidR="007171B7" w:rsidRPr="00E676E3" w:rsidRDefault="007171B7" w:rsidP="00E676E3">
            <w:pPr>
              <w:jc w:val="center"/>
              <w:rPr>
                <w:rFonts w:asciiTheme="majorHAnsi" w:hAnsiTheme="majorHAnsi" w:cs="Arial"/>
                <w:b/>
                <w:sz w:val="22"/>
                <w:szCs w:val="22"/>
                <w:lang w:val="es-MX"/>
              </w:rPr>
            </w:pPr>
          </w:p>
        </w:tc>
        <w:tc>
          <w:tcPr>
            <w:tcW w:w="1758" w:type="dxa"/>
          </w:tcPr>
          <w:p w14:paraId="4FCC9C36" w14:textId="77777777" w:rsidR="007171B7" w:rsidRPr="00E676E3" w:rsidRDefault="007171B7" w:rsidP="00E676E3">
            <w:pPr>
              <w:jc w:val="center"/>
              <w:rPr>
                <w:rFonts w:asciiTheme="majorHAnsi" w:hAnsiTheme="majorHAnsi" w:cs="Arial"/>
                <w:b/>
                <w:sz w:val="22"/>
                <w:szCs w:val="22"/>
                <w:lang w:val="es-MX"/>
              </w:rPr>
            </w:pPr>
          </w:p>
        </w:tc>
        <w:tc>
          <w:tcPr>
            <w:tcW w:w="1721" w:type="dxa"/>
          </w:tcPr>
          <w:p w14:paraId="779193B6" w14:textId="77777777" w:rsidR="007171B7" w:rsidRPr="00E676E3" w:rsidRDefault="007171B7" w:rsidP="00E676E3">
            <w:pPr>
              <w:jc w:val="center"/>
              <w:rPr>
                <w:rFonts w:asciiTheme="majorHAnsi" w:hAnsiTheme="majorHAnsi" w:cs="Arial"/>
                <w:b/>
                <w:sz w:val="22"/>
                <w:szCs w:val="22"/>
                <w:lang w:val="es-MX"/>
              </w:rPr>
            </w:pPr>
          </w:p>
        </w:tc>
      </w:tr>
      <w:tr w:rsidR="007171B7" w14:paraId="2EBABAB8" w14:textId="77777777" w:rsidTr="007171B7">
        <w:tc>
          <w:tcPr>
            <w:tcW w:w="1384" w:type="dxa"/>
          </w:tcPr>
          <w:p w14:paraId="46D883C3" w14:textId="728DF9DD" w:rsidR="007171B7" w:rsidRPr="002052F2" w:rsidRDefault="002052F2" w:rsidP="00E676E3">
            <w:pPr>
              <w:rPr>
                <w:rFonts w:asciiTheme="majorHAnsi" w:hAnsiTheme="majorHAnsi" w:cs="Arial"/>
                <w:b/>
                <w:sz w:val="22"/>
                <w:szCs w:val="22"/>
                <w:lang w:val="es-MX"/>
              </w:rPr>
            </w:pPr>
            <w:r>
              <w:rPr>
                <w:rFonts w:asciiTheme="majorHAnsi" w:hAnsiTheme="majorHAnsi" w:cs="Arial"/>
                <w:b/>
                <w:sz w:val="22"/>
                <w:szCs w:val="22"/>
                <w:lang w:val="es-MX"/>
              </w:rPr>
              <w:t>$12,500.0</w:t>
            </w:r>
            <w:r w:rsidRPr="002052F2">
              <w:rPr>
                <w:rFonts w:asciiTheme="majorHAnsi" w:hAnsiTheme="majorHAnsi" w:cs="Arial"/>
                <w:b/>
                <w:sz w:val="22"/>
                <w:szCs w:val="22"/>
                <w:lang w:val="es-MX"/>
              </w:rPr>
              <w:t>1</w:t>
            </w:r>
          </w:p>
        </w:tc>
        <w:tc>
          <w:tcPr>
            <w:tcW w:w="1336" w:type="dxa"/>
          </w:tcPr>
          <w:p w14:paraId="7B43A4BB" w14:textId="05BAAC3D" w:rsidR="007171B7" w:rsidRPr="002052F2" w:rsidRDefault="007171B7" w:rsidP="00E676E3">
            <w:pPr>
              <w:rPr>
                <w:rFonts w:asciiTheme="majorHAnsi" w:hAnsiTheme="majorHAnsi" w:cs="Arial"/>
                <w:b/>
                <w:sz w:val="22"/>
                <w:szCs w:val="22"/>
                <w:lang w:val="es-MX"/>
              </w:rPr>
            </w:pPr>
            <w:r w:rsidRPr="002052F2">
              <w:rPr>
                <w:rFonts w:asciiTheme="majorHAnsi" w:hAnsiTheme="majorHAnsi" w:cs="Arial"/>
                <w:b/>
                <w:sz w:val="22"/>
                <w:szCs w:val="22"/>
                <w:lang w:val="es-MX"/>
              </w:rPr>
              <w:t>$700,000.00</w:t>
            </w:r>
          </w:p>
        </w:tc>
        <w:tc>
          <w:tcPr>
            <w:tcW w:w="2049" w:type="dxa"/>
          </w:tcPr>
          <w:p w14:paraId="6D13A00E" w14:textId="77777777" w:rsidR="007171B7" w:rsidRPr="00E676E3" w:rsidRDefault="007171B7" w:rsidP="00E676E3">
            <w:pPr>
              <w:jc w:val="center"/>
              <w:rPr>
                <w:rFonts w:asciiTheme="majorHAnsi" w:hAnsiTheme="majorHAnsi" w:cs="Arial"/>
                <w:b/>
                <w:sz w:val="22"/>
                <w:szCs w:val="22"/>
                <w:lang w:val="es-MX"/>
              </w:rPr>
            </w:pPr>
          </w:p>
        </w:tc>
        <w:tc>
          <w:tcPr>
            <w:tcW w:w="1010" w:type="dxa"/>
          </w:tcPr>
          <w:p w14:paraId="3BF6B053" w14:textId="77777777" w:rsidR="007171B7" w:rsidRPr="00E676E3" w:rsidRDefault="007171B7" w:rsidP="00E676E3">
            <w:pPr>
              <w:jc w:val="center"/>
              <w:rPr>
                <w:rFonts w:asciiTheme="majorHAnsi" w:hAnsiTheme="majorHAnsi" w:cs="Arial"/>
                <w:b/>
                <w:sz w:val="22"/>
                <w:szCs w:val="22"/>
                <w:lang w:val="es-MX"/>
              </w:rPr>
            </w:pPr>
          </w:p>
        </w:tc>
        <w:tc>
          <w:tcPr>
            <w:tcW w:w="1758" w:type="dxa"/>
          </w:tcPr>
          <w:p w14:paraId="24F01852" w14:textId="63C29C65" w:rsidR="007171B7" w:rsidRPr="00E676E3" w:rsidRDefault="007171B7" w:rsidP="00E676E3">
            <w:pPr>
              <w:jc w:val="center"/>
              <w:rPr>
                <w:rFonts w:asciiTheme="majorHAnsi" w:hAnsiTheme="majorHAnsi" w:cs="Arial"/>
                <w:b/>
                <w:sz w:val="22"/>
                <w:szCs w:val="22"/>
                <w:lang w:val="es-MX"/>
              </w:rPr>
            </w:pPr>
            <w:r w:rsidRPr="00E676E3">
              <w:rPr>
                <w:rFonts w:asciiTheme="majorHAnsi" w:hAnsiTheme="majorHAnsi" w:cs="Arial"/>
                <w:b/>
                <w:sz w:val="22"/>
                <w:szCs w:val="22"/>
                <w:lang w:val="es-MX"/>
              </w:rPr>
              <w:t>X</w:t>
            </w:r>
          </w:p>
        </w:tc>
        <w:tc>
          <w:tcPr>
            <w:tcW w:w="1758" w:type="dxa"/>
          </w:tcPr>
          <w:p w14:paraId="29E1D689" w14:textId="77777777" w:rsidR="007171B7" w:rsidRPr="00E676E3" w:rsidRDefault="007171B7" w:rsidP="00E676E3">
            <w:pPr>
              <w:jc w:val="center"/>
              <w:rPr>
                <w:rFonts w:asciiTheme="majorHAnsi" w:hAnsiTheme="majorHAnsi" w:cs="Arial"/>
                <w:b/>
                <w:sz w:val="22"/>
                <w:szCs w:val="22"/>
                <w:lang w:val="es-MX"/>
              </w:rPr>
            </w:pPr>
          </w:p>
        </w:tc>
        <w:tc>
          <w:tcPr>
            <w:tcW w:w="1721" w:type="dxa"/>
          </w:tcPr>
          <w:p w14:paraId="57F009F4" w14:textId="77777777" w:rsidR="007171B7" w:rsidRPr="00E676E3" w:rsidRDefault="007171B7" w:rsidP="00E676E3">
            <w:pPr>
              <w:jc w:val="center"/>
              <w:rPr>
                <w:rFonts w:asciiTheme="majorHAnsi" w:hAnsiTheme="majorHAnsi" w:cs="Arial"/>
                <w:b/>
                <w:sz w:val="22"/>
                <w:szCs w:val="22"/>
                <w:lang w:val="es-MX"/>
              </w:rPr>
            </w:pPr>
          </w:p>
        </w:tc>
      </w:tr>
      <w:tr w:rsidR="007171B7" w14:paraId="256023B9" w14:textId="77777777" w:rsidTr="007171B7">
        <w:tc>
          <w:tcPr>
            <w:tcW w:w="1384" w:type="dxa"/>
          </w:tcPr>
          <w:p w14:paraId="4C99FFF5" w14:textId="5A6652AE" w:rsidR="007171B7" w:rsidRPr="00E676E3" w:rsidRDefault="007171B7" w:rsidP="00E676E3">
            <w:pPr>
              <w:rPr>
                <w:rFonts w:asciiTheme="majorHAnsi" w:hAnsiTheme="majorHAnsi" w:cs="Arial"/>
                <w:b/>
                <w:sz w:val="22"/>
                <w:szCs w:val="22"/>
                <w:lang w:val="es-MX"/>
              </w:rPr>
            </w:pPr>
            <w:r>
              <w:rPr>
                <w:rFonts w:asciiTheme="majorHAnsi" w:hAnsiTheme="majorHAnsi" w:cs="Arial"/>
                <w:b/>
                <w:sz w:val="22"/>
                <w:szCs w:val="22"/>
                <w:lang w:val="es-MX"/>
              </w:rPr>
              <w:t>$7</w:t>
            </w:r>
            <w:r w:rsidRPr="00E676E3">
              <w:rPr>
                <w:rFonts w:asciiTheme="majorHAnsi" w:hAnsiTheme="majorHAnsi" w:cs="Arial"/>
                <w:b/>
                <w:sz w:val="22"/>
                <w:szCs w:val="22"/>
                <w:lang w:val="es-MX"/>
              </w:rPr>
              <w:t>00,000.01</w:t>
            </w:r>
          </w:p>
        </w:tc>
        <w:tc>
          <w:tcPr>
            <w:tcW w:w="1336" w:type="dxa"/>
          </w:tcPr>
          <w:p w14:paraId="4AFD2F0C" w14:textId="157BD4D1" w:rsidR="007171B7" w:rsidRPr="00E676E3" w:rsidRDefault="007171B7" w:rsidP="00E676E3">
            <w:pPr>
              <w:rPr>
                <w:rFonts w:asciiTheme="majorHAnsi" w:hAnsiTheme="majorHAnsi" w:cs="Arial"/>
                <w:b/>
                <w:sz w:val="22"/>
                <w:szCs w:val="22"/>
                <w:lang w:val="es-MX"/>
              </w:rPr>
            </w:pPr>
            <w:r w:rsidRPr="00E676E3">
              <w:rPr>
                <w:rFonts w:asciiTheme="majorHAnsi" w:hAnsiTheme="majorHAnsi" w:cs="Arial"/>
                <w:b/>
                <w:sz w:val="22"/>
                <w:szCs w:val="22"/>
                <w:lang w:val="es-MX"/>
              </w:rPr>
              <w:t>En adelante</w:t>
            </w:r>
          </w:p>
        </w:tc>
        <w:tc>
          <w:tcPr>
            <w:tcW w:w="2049" w:type="dxa"/>
          </w:tcPr>
          <w:p w14:paraId="6E02BF6A" w14:textId="77777777" w:rsidR="007171B7" w:rsidRPr="00E676E3" w:rsidRDefault="007171B7" w:rsidP="00E676E3">
            <w:pPr>
              <w:jc w:val="center"/>
              <w:rPr>
                <w:rFonts w:asciiTheme="majorHAnsi" w:hAnsiTheme="majorHAnsi" w:cs="Arial"/>
                <w:b/>
                <w:sz w:val="22"/>
                <w:szCs w:val="22"/>
                <w:lang w:val="es-MX"/>
              </w:rPr>
            </w:pPr>
          </w:p>
        </w:tc>
        <w:tc>
          <w:tcPr>
            <w:tcW w:w="1010" w:type="dxa"/>
          </w:tcPr>
          <w:p w14:paraId="36FE4C49" w14:textId="77777777" w:rsidR="007171B7" w:rsidRPr="00E676E3" w:rsidRDefault="007171B7" w:rsidP="00E676E3">
            <w:pPr>
              <w:jc w:val="center"/>
              <w:rPr>
                <w:rFonts w:asciiTheme="majorHAnsi" w:hAnsiTheme="majorHAnsi" w:cs="Arial"/>
                <w:b/>
                <w:sz w:val="22"/>
                <w:szCs w:val="22"/>
                <w:lang w:val="es-MX"/>
              </w:rPr>
            </w:pPr>
          </w:p>
        </w:tc>
        <w:tc>
          <w:tcPr>
            <w:tcW w:w="1758" w:type="dxa"/>
          </w:tcPr>
          <w:p w14:paraId="7A764076" w14:textId="01D72DA2" w:rsidR="007171B7" w:rsidRPr="00E676E3" w:rsidRDefault="007171B7" w:rsidP="00E676E3">
            <w:pPr>
              <w:jc w:val="center"/>
              <w:rPr>
                <w:rFonts w:asciiTheme="majorHAnsi" w:hAnsiTheme="majorHAnsi" w:cs="Arial"/>
                <w:b/>
                <w:sz w:val="22"/>
                <w:szCs w:val="22"/>
                <w:lang w:val="es-MX"/>
              </w:rPr>
            </w:pPr>
          </w:p>
        </w:tc>
        <w:tc>
          <w:tcPr>
            <w:tcW w:w="1758" w:type="dxa"/>
          </w:tcPr>
          <w:p w14:paraId="2593F1EB" w14:textId="36DF5B7F" w:rsidR="007171B7" w:rsidRPr="00E676E3" w:rsidRDefault="007171B7" w:rsidP="00E676E3">
            <w:pPr>
              <w:jc w:val="center"/>
              <w:rPr>
                <w:rFonts w:asciiTheme="majorHAnsi" w:hAnsiTheme="majorHAnsi" w:cs="Arial"/>
                <w:b/>
                <w:sz w:val="22"/>
                <w:szCs w:val="22"/>
                <w:lang w:val="es-MX"/>
              </w:rPr>
            </w:pPr>
            <w:r w:rsidRPr="00E676E3">
              <w:rPr>
                <w:rFonts w:asciiTheme="majorHAnsi" w:hAnsiTheme="majorHAnsi" w:cs="Arial"/>
                <w:b/>
                <w:sz w:val="22"/>
                <w:szCs w:val="22"/>
                <w:lang w:val="es-MX"/>
              </w:rPr>
              <w:t>X</w:t>
            </w:r>
          </w:p>
        </w:tc>
        <w:tc>
          <w:tcPr>
            <w:tcW w:w="1721" w:type="dxa"/>
          </w:tcPr>
          <w:p w14:paraId="37B4925F" w14:textId="77777777" w:rsidR="007171B7" w:rsidRPr="00E676E3" w:rsidRDefault="007171B7" w:rsidP="00E676E3">
            <w:pPr>
              <w:jc w:val="center"/>
              <w:rPr>
                <w:rFonts w:asciiTheme="majorHAnsi" w:hAnsiTheme="majorHAnsi" w:cs="Arial"/>
                <w:b/>
                <w:sz w:val="22"/>
                <w:szCs w:val="22"/>
                <w:lang w:val="es-MX"/>
              </w:rPr>
            </w:pPr>
          </w:p>
        </w:tc>
      </w:tr>
      <w:tr w:rsidR="007171B7" w14:paraId="6E1DFF57" w14:textId="77777777" w:rsidTr="007171B7">
        <w:tc>
          <w:tcPr>
            <w:tcW w:w="1384" w:type="dxa"/>
          </w:tcPr>
          <w:p w14:paraId="7447488B" w14:textId="77777777" w:rsidR="007171B7" w:rsidRPr="00E676E3" w:rsidRDefault="007171B7" w:rsidP="00E676E3">
            <w:pPr>
              <w:jc w:val="center"/>
              <w:rPr>
                <w:rFonts w:asciiTheme="majorHAnsi" w:hAnsiTheme="majorHAnsi" w:cs="Arial"/>
                <w:b/>
                <w:sz w:val="22"/>
                <w:szCs w:val="22"/>
                <w:lang w:val="es-MX"/>
              </w:rPr>
            </w:pPr>
          </w:p>
        </w:tc>
        <w:tc>
          <w:tcPr>
            <w:tcW w:w="1336" w:type="dxa"/>
          </w:tcPr>
          <w:p w14:paraId="6DB7029E" w14:textId="77777777" w:rsidR="007171B7" w:rsidRPr="00E676E3" w:rsidRDefault="007171B7" w:rsidP="00E676E3">
            <w:pPr>
              <w:jc w:val="center"/>
              <w:rPr>
                <w:rFonts w:asciiTheme="majorHAnsi" w:hAnsiTheme="majorHAnsi" w:cs="Arial"/>
                <w:b/>
                <w:sz w:val="22"/>
                <w:szCs w:val="22"/>
                <w:lang w:val="es-MX"/>
              </w:rPr>
            </w:pPr>
          </w:p>
        </w:tc>
        <w:tc>
          <w:tcPr>
            <w:tcW w:w="2049" w:type="dxa"/>
          </w:tcPr>
          <w:p w14:paraId="20EC46A2" w14:textId="77777777" w:rsidR="007171B7" w:rsidRPr="00E676E3" w:rsidRDefault="007171B7" w:rsidP="00E676E3">
            <w:pPr>
              <w:jc w:val="center"/>
              <w:rPr>
                <w:rFonts w:asciiTheme="majorHAnsi" w:hAnsiTheme="majorHAnsi" w:cs="Arial"/>
                <w:b/>
                <w:sz w:val="22"/>
                <w:szCs w:val="22"/>
                <w:lang w:val="es-MX"/>
              </w:rPr>
            </w:pPr>
          </w:p>
        </w:tc>
        <w:tc>
          <w:tcPr>
            <w:tcW w:w="1010" w:type="dxa"/>
          </w:tcPr>
          <w:p w14:paraId="18DA331C" w14:textId="77777777" w:rsidR="007171B7" w:rsidRPr="00E676E3" w:rsidRDefault="007171B7" w:rsidP="00E676E3">
            <w:pPr>
              <w:jc w:val="center"/>
              <w:rPr>
                <w:rFonts w:asciiTheme="majorHAnsi" w:hAnsiTheme="majorHAnsi" w:cs="Arial"/>
                <w:b/>
                <w:sz w:val="22"/>
                <w:szCs w:val="22"/>
                <w:lang w:val="es-MX"/>
              </w:rPr>
            </w:pPr>
          </w:p>
        </w:tc>
        <w:tc>
          <w:tcPr>
            <w:tcW w:w="1758" w:type="dxa"/>
          </w:tcPr>
          <w:p w14:paraId="235E8999" w14:textId="54C15B58" w:rsidR="007171B7" w:rsidRPr="00E676E3" w:rsidRDefault="007171B7" w:rsidP="00E676E3">
            <w:pPr>
              <w:jc w:val="center"/>
              <w:rPr>
                <w:rFonts w:asciiTheme="majorHAnsi" w:hAnsiTheme="majorHAnsi" w:cs="Arial"/>
                <w:b/>
                <w:sz w:val="22"/>
                <w:szCs w:val="22"/>
                <w:lang w:val="es-MX"/>
              </w:rPr>
            </w:pPr>
          </w:p>
        </w:tc>
        <w:tc>
          <w:tcPr>
            <w:tcW w:w="1758" w:type="dxa"/>
          </w:tcPr>
          <w:p w14:paraId="7CD176C3" w14:textId="77777777" w:rsidR="007171B7" w:rsidRPr="00E676E3" w:rsidRDefault="007171B7" w:rsidP="00E676E3">
            <w:pPr>
              <w:jc w:val="center"/>
              <w:rPr>
                <w:rFonts w:asciiTheme="majorHAnsi" w:hAnsiTheme="majorHAnsi" w:cs="Arial"/>
                <w:b/>
                <w:sz w:val="22"/>
                <w:szCs w:val="22"/>
                <w:lang w:val="es-MX"/>
              </w:rPr>
            </w:pPr>
          </w:p>
        </w:tc>
        <w:tc>
          <w:tcPr>
            <w:tcW w:w="1721" w:type="dxa"/>
          </w:tcPr>
          <w:p w14:paraId="0AC62249" w14:textId="459AF109" w:rsidR="007171B7" w:rsidRPr="00E676E3" w:rsidRDefault="007171B7" w:rsidP="00E676E3">
            <w:pPr>
              <w:jc w:val="center"/>
              <w:rPr>
                <w:rFonts w:asciiTheme="majorHAnsi" w:hAnsiTheme="majorHAnsi" w:cs="Arial"/>
                <w:b/>
                <w:sz w:val="22"/>
                <w:szCs w:val="22"/>
                <w:lang w:val="es-MX"/>
              </w:rPr>
            </w:pPr>
            <w:r w:rsidRPr="00E676E3">
              <w:rPr>
                <w:rFonts w:asciiTheme="majorHAnsi" w:hAnsiTheme="majorHAnsi" w:cs="Arial"/>
                <w:b/>
                <w:sz w:val="22"/>
                <w:szCs w:val="22"/>
                <w:lang w:val="es-MX"/>
              </w:rPr>
              <w:t>X (1)</w:t>
            </w:r>
          </w:p>
        </w:tc>
      </w:tr>
    </w:tbl>
    <w:p w14:paraId="2B195425" w14:textId="77777777" w:rsidR="004975EB" w:rsidRPr="00E676E3" w:rsidRDefault="004975EB" w:rsidP="00071B27">
      <w:pPr>
        <w:rPr>
          <w:rFonts w:asciiTheme="majorHAnsi" w:hAnsiTheme="majorHAnsi" w:cs="Arial"/>
          <w:sz w:val="22"/>
          <w:szCs w:val="22"/>
          <w:lang w:val="es-MX"/>
        </w:rPr>
      </w:pPr>
    </w:p>
    <w:p w14:paraId="05BDD01C" w14:textId="2079CB36" w:rsidR="004975EB" w:rsidRPr="00EA360E" w:rsidRDefault="00E676E3" w:rsidP="00E676E3">
      <w:pPr>
        <w:pStyle w:val="Prrafodelista"/>
        <w:numPr>
          <w:ilvl w:val="0"/>
          <w:numId w:val="2"/>
        </w:numPr>
        <w:rPr>
          <w:rFonts w:asciiTheme="majorHAnsi" w:hAnsiTheme="majorHAnsi" w:cs="Arial"/>
          <w:i/>
          <w:sz w:val="20"/>
          <w:szCs w:val="22"/>
          <w:lang w:val="es-MX"/>
        </w:rPr>
      </w:pPr>
      <w:r w:rsidRPr="00EA360E">
        <w:rPr>
          <w:rFonts w:asciiTheme="majorHAnsi" w:hAnsiTheme="majorHAnsi" w:cs="Arial"/>
          <w:i/>
          <w:sz w:val="20"/>
          <w:szCs w:val="22"/>
          <w:lang w:val="es-MX"/>
        </w:rPr>
        <w:t>En los casos de las Adjudicaciones Directas, se estará a lo dispuesto a los artículos 73 y 74</w:t>
      </w:r>
      <w:r w:rsidR="00EA360E" w:rsidRPr="00EA360E">
        <w:rPr>
          <w:rFonts w:asciiTheme="majorHAnsi" w:hAnsiTheme="majorHAnsi" w:cs="Arial"/>
          <w:i/>
          <w:sz w:val="20"/>
          <w:szCs w:val="22"/>
          <w:lang w:val="es-MX"/>
        </w:rPr>
        <w:t xml:space="preserve"> de la Ley de Compras Gubernamentales, Enajenaciones y Contratación de Servicios del Estado de Jalisco y sus Municipios</w:t>
      </w:r>
      <w:r w:rsidR="00EA360E">
        <w:rPr>
          <w:rFonts w:asciiTheme="majorHAnsi" w:hAnsiTheme="majorHAnsi" w:cs="Arial"/>
          <w:i/>
          <w:sz w:val="20"/>
          <w:szCs w:val="22"/>
          <w:lang w:val="es-MX"/>
        </w:rPr>
        <w:t>.</w:t>
      </w:r>
    </w:p>
    <w:p w14:paraId="1A2A94C4" w14:textId="77777777" w:rsidR="00EA360E" w:rsidRDefault="00EA360E" w:rsidP="00EA360E">
      <w:pPr>
        <w:rPr>
          <w:rFonts w:asciiTheme="majorHAnsi" w:hAnsiTheme="majorHAnsi" w:cs="Arial"/>
          <w:sz w:val="22"/>
          <w:szCs w:val="22"/>
          <w:lang w:val="es-MX"/>
        </w:rPr>
      </w:pPr>
    </w:p>
    <w:p w14:paraId="52D60A52" w14:textId="4FF188FA" w:rsidR="00EA360E" w:rsidRPr="00EA360E" w:rsidRDefault="00EA360E" w:rsidP="00EA360E">
      <w:pPr>
        <w:spacing w:line="360" w:lineRule="auto"/>
        <w:rPr>
          <w:rFonts w:asciiTheme="majorHAnsi" w:hAnsiTheme="majorHAnsi" w:cs="Arial"/>
          <w:b/>
          <w:sz w:val="22"/>
          <w:szCs w:val="22"/>
          <w:lang w:val="es-MX"/>
        </w:rPr>
      </w:pPr>
      <w:r w:rsidRPr="00EA360E">
        <w:rPr>
          <w:rFonts w:asciiTheme="majorHAnsi" w:hAnsiTheme="majorHAnsi" w:cs="Arial"/>
          <w:b/>
          <w:sz w:val="22"/>
          <w:szCs w:val="22"/>
          <w:lang w:val="es-MX"/>
        </w:rPr>
        <w:t>LEY DE COMPRAS GUBERNAMENTALES, ENAJENACIONES Y CONTRATACIÓN DE SERVICIOS DEL ESTADO DE JALISCO Y SUS MUNICIPIOS</w:t>
      </w:r>
    </w:p>
    <w:p w14:paraId="7856D31D" w14:textId="21C0D29F" w:rsidR="00EA360E" w:rsidRDefault="00EA360E" w:rsidP="00EA360E">
      <w:pPr>
        <w:spacing w:line="360" w:lineRule="auto"/>
        <w:rPr>
          <w:rFonts w:asciiTheme="majorHAnsi" w:hAnsiTheme="majorHAnsi" w:cs="Arial"/>
          <w:b/>
          <w:sz w:val="22"/>
          <w:szCs w:val="22"/>
          <w:lang w:val="es-MX"/>
        </w:rPr>
      </w:pPr>
      <w:r>
        <w:rPr>
          <w:rFonts w:asciiTheme="majorHAnsi" w:hAnsiTheme="majorHAnsi" w:cs="Arial"/>
          <w:b/>
          <w:sz w:val="22"/>
          <w:szCs w:val="22"/>
          <w:lang w:val="es-MX"/>
        </w:rPr>
        <w:t>CAPÍTULO I</w:t>
      </w:r>
    </w:p>
    <w:p w14:paraId="6AF3B056" w14:textId="52304B86" w:rsidR="00EA360E" w:rsidRDefault="00EA360E" w:rsidP="00EA360E">
      <w:pPr>
        <w:rPr>
          <w:rFonts w:asciiTheme="majorHAnsi" w:hAnsiTheme="majorHAnsi" w:cs="Arial"/>
          <w:b/>
          <w:sz w:val="22"/>
          <w:szCs w:val="22"/>
          <w:lang w:val="es-MX"/>
        </w:rPr>
      </w:pPr>
      <w:r>
        <w:rPr>
          <w:rFonts w:asciiTheme="majorHAnsi" w:hAnsiTheme="majorHAnsi" w:cs="Arial"/>
          <w:b/>
          <w:sz w:val="22"/>
          <w:szCs w:val="22"/>
          <w:lang w:val="es-MX"/>
        </w:rPr>
        <w:t>PLANEACIÓN Y PRESUPUESTACIÓN</w:t>
      </w:r>
    </w:p>
    <w:p w14:paraId="1ED0FAC0" w14:textId="77777777" w:rsidR="00EA360E" w:rsidRDefault="00EA360E" w:rsidP="00EA360E">
      <w:pPr>
        <w:rPr>
          <w:rFonts w:asciiTheme="majorHAnsi" w:hAnsiTheme="majorHAnsi" w:cs="Arial"/>
          <w:b/>
          <w:sz w:val="22"/>
          <w:szCs w:val="22"/>
          <w:lang w:val="es-MX"/>
        </w:rPr>
      </w:pPr>
    </w:p>
    <w:p w14:paraId="755270C5" w14:textId="77777777" w:rsidR="00EA360E" w:rsidRPr="00145F79" w:rsidRDefault="00EA360E" w:rsidP="00F064A0">
      <w:pPr>
        <w:jc w:val="both"/>
        <w:rPr>
          <w:rFonts w:asciiTheme="majorHAnsi" w:hAnsiTheme="majorHAnsi"/>
          <w:b/>
          <w:sz w:val="22"/>
          <w:szCs w:val="20"/>
        </w:rPr>
      </w:pPr>
      <w:r w:rsidRPr="00145F79">
        <w:rPr>
          <w:rFonts w:asciiTheme="majorHAnsi" w:eastAsia="Times New Roman" w:hAnsiTheme="majorHAnsi" w:cs="Arial"/>
          <w:b/>
          <w:bCs/>
          <w:sz w:val="22"/>
          <w:szCs w:val="20"/>
        </w:rPr>
        <w:t>Artículo 42.</w:t>
      </w:r>
    </w:p>
    <w:p w14:paraId="76BD34CB" w14:textId="77777777" w:rsidR="00EA360E" w:rsidRPr="00145F79" w:rsidRDefault="00EA360E" w:rsidP="00F064A0">
      <w:pPr>
        <w:jc w:val="both"/>
        <w:rPr>
          <w:rFonts w:asciiTheme="majorHAnsi" w:hAnsiTheme="majorHAnsi" w:cs="Arial"/>
          <w:sz w:val="22"/>
          <w:szCs w:val="20"/>
        </w:rPr>
      </w:pPr>
      <w:r w:rsidRPr="00145F79">
        <w:rPr>
          <w:rFonts w:asciiTheme="majorHAnsi" w:eastAsia="Times New Roman" w:hAnsiTheme="majorHAnsi" w:cs="Arial"/>
          <w:sz w:val="22"/>
          <w:szCs w:val="20"/>
        </w:rPr>
        <w:t xml:space="preserve">1. Los entes públicos formularán sus programas anuales de adquisiciones, arrendamientos y servicios, y los que abarquen más de un ejercicio presupuestal, así como sus respectivos presupuestos, considerando: </w:t>
      </w:r>
    </w:p>
    <w:p w14:paraId="539F3A12" w14:textId="77777777" w:rsidR="00EA360E" w:rsidRPr="00145F79" w:rsidRDefault="00EA360E" w:rsidP="00F064A0">
      <w:pPr>
        <w:jc w:val="both"/>
        <w:rPr>
          <w:rFonts w:asciiTheme="majorHAnsi" w:hAnsiTheme="majorHAnsi" w:cs="Arial"/>
          <w:sz w:val="22"/>
          <w:szCs w:val="20"/>
        </w:rPr>
      </w:pPr>
    </w:p>
    <w:p w14:paraId="38EFD177" w14:textId="1C80C34E" w:rsidR="00EA360E" w:rsidRPr="00145F79" w:rsidRDefault="00EA360E" w:rsidP="00F064A0">
      <w:pPr>
        <w:numPr>
          <w:ilvl w:val="0"/>
          <w:numId w:val="3"/>
        </w:numPr>
        <w:jc w:val="both"/>
        <w:rPr>
          <w:rFonts w:asciiTheme="majorHAnsi" w:eastAsia="Times New Roman" w:hAnsiTheme="majorHAnsi" w:cs="Arial"/>
          <w:sz w:val="22"/>
          <w:szCs w:val="20"/>
        </w:rPr>
      </w:pPr>
      <w:r w:rsidRPr="00145F79">
        <w:rPr>
          <w:rFonts w:asciiTheme="majorHAnsi" w:eastAsia="Times New Roman" w:hAnsiTheme="majorHAnsi" w:cs="Arial"/>
          <w:sz w:val="22"/>
          <w:szCs w:val="20"/>
        </w:rPr>
        <w:t xml:space="preserve">Las acciones previas, durante y posteriores a la realización de dichas operaciones; </w:t>
      </w:r>
    </w:p>
    <w:p w14:paraId="3246018B" w14:textId="4A81C675" w:rsidR="00EA360E" w:rsidRPr="00145F79" w:rsidRDefault="00EA360E" w:rsidP="00F064A0">
      <w:pPr>
        <w:numPr>
          <w:ilvl w:val="0"/>
          <w:numId w:val="3"/>
        </w:numPr>
        <w:jc w:val="both"/>
        <w:rPr>
          <w:rFonts w:asciiTheme="majorHAnsi" w:eastAsia="Times New Roman" w:hAnsiTheme="majorHAnsi" w:cs="Arial"/>
          <w:sz w:val="22"/>
          <w:szCs w:val="20"/>
        </w:rPr>
      </w:pPr>
      <w:r w:rsidRPr="00145F79">
        <w:rPr>
          <w:rFonts w:asciiTheme="majorHAnsi" w:eastAsia="Times New Roman" w:hAnsiTheme="majorHAnsi" w:cs="Arial"/>
          <w:sz w:val="22"/>
          <w:szCs w:val="20"/>
        </w:rPr>
        <w:t xml:space="preserve">Los objetivos y metas a corto, mediano y largo plazo; </w:t>
      </w:r>
    </w:p>
    <w:p w14:paraId="59515CC8" w14:textId="2FDAA43B" w:rsidR="00EA360E" w:rsidRPr="00145F79" w:rsidRDefault="00EA360E" w:rsidP="00F064A0">
      <w:pPr>
        <w:numPr>
          <w:ilvl w:val="0"/>
          <w:numId w:val="3"/>
        </w:numPr>
        <w:jc w:val="both"/>
        <w:rPr>
          <w:rFonts w:asciiTheme="majorHAnsi" w:eastAsia="Times New Roman" w:hAnsiTheme="majorHAnsi" w:cs="Arial"/>
          <w:sz w:val="22"/>
          <w:szCs w:val="20"/>
        </w:rPr>
      </w:pPr>
      <w:r w:rsidRPr="00145F79">
        <w:rPr>
          <w:rFonts w:asciiTheme="majorHAnsi" w:eastAsia="Times New Roman" w:hAnsiTheme="majorHAnsi" w:cs="Arial"/>
          <w:sz w:val="22"/>
          <w:szCs w:val="20"/>
        </w:rPr>
        <w:t xml:space="preserve">La calendarización física y financiera de los recursos necesarios; </w:t>
      </w:r>
    </w:p>
    <w:p w14:paraId="2A45A435" w14:textId="7897AD53" w:rsidR="00EA360E" w:rsidRPr="00145F79" w:rsidRDefault="00EA360E" w:rsidP="00F064A0">
      <w:pPr>
        <w:numPr>
          <w:ilvl w:val="0"/>
          <w:numId w:val="3"/>
        </w:numPr>
        <w:jc w:val="both"/>
        <w:rPr>
          <w:rFonts w:asciiTheme="majorHAnsi" w:eastAsia="Times New Roman" w:hAnsiTheme="majorHAnsi" w:cs="Arial"/>
          <w:sz w:val="22"/>
          <w:szCs w:val="20"/>
        </w:rPr>
      </w:pPr>
      <w:r w:rsidRPr="00145F79">
        <w:rPr>
          <w:rFonts w:asciiTheme="majorHAnsi" w:eastAsia="Times New Roman" w:hAnsiTheme="majorHAnsi" w:cs="Arial"/>
          <w:sz w:val="22"/>
          <w:szCs w:val="20"/>
        </w:rPr>
        <w:t xml:space="preserve">Las unidades responsables de su instrumentación; </w:t>
      </w:r>
    </w:p>
    <w:p w14:paraId="7C71052F" w14:textId="063AAA87" w:rsidR="00EA360E" w:rsidRPr="00145F79" w:rsidRDefault="00EA360E" w:rsidP="00F064A0">
      <w:pPr>
        <w:numPr>
          <w:ilvl w:val="0"/>
          <w:numId w:val="3"/>
        </w:numPr>
        <w:jc w:val="both"/>
        <w:rPr>
          <w:rFonts w:asciiTheme="majorHAnsi" w:eastAsia="Times New Roman" w:hAnsiTheme="majorHAnsi" w:cs="Arial"/>
          <w:sz w:val="22"/>
          <w:szCs w:val="20"/>
        </w:rPr>
      </w:pPr>
      <w:r w:rsidRPr="00145F79">
        <w:rPr>
          <w:rFonts w:asciiTheme="majorHAnsi" w:eastAsia="Times New Roman" w:hAnsiTheme="majorHAnsi" w:cs="Arial"/>
          <w:sz w:val="22"/>
          <w:szCs w:val="20"/>
        </w:rPr>
        <w:t>La información provista por el SECG como un insumo para determinar los precios máximos de referencia;</w:t>
      </w:r>
    </w:p>
    <w:p w14:paraId="4A0531D6" w14:textId="59C0E0F2" w:rsidR="00EA360E" w:rsidRPr="00145F79" w:rsidRDefault="00EA360E" w:rsidP="00F064A0">
      <w:pPr>
        <w:numPr>
          <w:ilvl w:val="0"/>
          <w:numId w:val="3"/>
        </w:numPr>
        <w:jc w:val="both"/>
        <w:rPr>
          <w:rFonts w:asciiTheme="majorHAnsi" w:eastAsia="Times New Roman" w:hAnsiTheme="majorHAnsi" w:cs="Arial"/>
          <w:sz w:val="22"/>
          <w:szCs w:val="20"/>
        </w:rPr>
      </w:pPr>
      <w:r w:rsidRPr="00145F79">
        <w:rPr>
          <w:rFonts w:asciiTheme="majorHAnsi" w:eastAsia="Times New Roman" w:hAnsiTheme="majorHAnsi" w:cs="Arial"/>
          <w:sz w:val="22"/>
          <w:szCs w:val="20"/>
        </w:rPr>
        <w:t xml:space="preserve">Sus programas sustantivos, de apoyo administrativo y de inversiones, así como, en su caso, aquéllos relativos a la adquisición de bienes para su posterior comercialización, incluyendo los que habrán de sujetarse a procesos productivos; </w:t>
      </w:r>
    </w:p>
    <w:p w14:paraId="25E4F155" w14:textId="49B6F6F4" w:rsidR="00EA360E" w:rsidRPr="00145F79" w:rsidRDefault="00EA360E" w:rsidP="00F064A0">
      <w:pPr>
        <w:numPr>
          <w:ilvl w:val="0"/>
          <w:numId w:val="3"/>
        </w:numPr>
        <w:jc w:val="both"/>
        <w:rPr>
          <w:rFonts w:asciiTheme="majorHAnsi" w:eastAsia="Times New Roman" w:hAnsiTheme="majorHAnsi" w:cs="Arial"/>
          <w:sz w:val="22"/>
          <w:szCs w:val="20"/>
        </w:rPr>
      </w:pPr>
      <w:r w:rsidRPr="00145F79">
        <w:rPr>
          <w:rFonts w:asciiTheme="majorHAnsi" w:eastAsia="Times New Roman" w:hAnsiTheme="majorHAnsi" w:cs="Arial"/>
          <w:sz w:val="22"/>
          <w:szCs w:val="20"/>
        </w:rPr>
        <w:t xml:space="preserve">La existencia en cantidad suficiente de los bienes; los plazos estimados de suministro; los avances tecnológicos incorporados en los bienes, y en su caso los planos, proyectos y especificaciones; </w:t>
      </w:r>
    </w:p>
    <w:p w14:paraId="50D9EFE4" w14:textId="50B76524" w:rsidR="00EA360E" w:rsidRPr="00145F79" w:rsidRDefault="00EA360E" w:rsidP="00F064A0">
      <w:pPr>
        <w:numPr>
          <w:ilvl w:val="0"/>
          <w:numId w:val="3"/>
        </w:numPr>
        <w:jc w:val="both"/>
        <w:rPr>
          <w:rFonts w:asciiTheme="majorHAnsi" w:eastAsia="Times New Roman" w:hAnsiTheme="majorHAnsi" w:cs="Arial"/>
          <w:sz w:val="22"/>
          <w:szCs w:val="20"/>
        </w:rPr>
      </w:pPr>
      <w:r w:rsidRPr="00145F79">
        <w:rPr>
          <w:rFonts w:asciiTheme="majorHAnsi" w:eastAsia="Times New Roman" w:hAnsiTheme="majorHAnsi" w:cs="Arial"/>
          <w:sz w:val="22"/>
          <w:szCs w:val="20"/>
        </w:rPr>
        <w:t>Las normas aplicables conforme a la Ley Federal sobre Metrología y Normalización o, a falta de éstas, las normas internacionales;</w:t>
      </w:r>
    </w:p>
    <w:p w14:paraId="2A39CC13" w14:textId="31270E19" w:rsidR="00EA360E" w:rsidRPr="00145F79" w:rsidRDefault="00EA360E" w:rsidP="00F064A0">
      <w:pPr>
        <w:numPr>
          <w:ilvl w:val="0"/>
          <w:numId w:val="3"/>
        </w:numPr>
        <w:jc w:val="both"/>
        <w:rPr>
          <w:rFonts w:asciiTheme="majorHAnsi" w:eastAsia="Times New Roman" w:hAnsiTheme="majorHAnsi" w:cs="Arial"/>
          <w:sz w:val="22"/>
          <w:szCs w:val="20"/>
        </w:rPr>
      </w:pPr>
      <w:r w:rsidRPr="00145F79">
        <w:rPr>
          <w:rFonts w:asciiTheme="majorHAnsi" w:eastAsia="Times New Roman" w:hAnsiTheme="majorHAnsi" w:cs="Arial"/>
          <w:sz w:val="22"/>
          <w:szCs w:val="20"/>
        </w:rPr>
        <w:t xml:space="preserve">Los requerimientos de mantenimiento de los bienes muebles a su cargo; </w:t>
      </w:r>
    </w:p>
    <w:p w14:paraId="7C4A3361" w14:textId="77777777" w:rsidR="000C4C36" w:rsidRDefault="000C4C36" w:rsidP="000C4C36">
      <w:pPr>
        <w:ind w:left="1080"/>
        <w:jc w:val="both"/>
        <w:rPr>
          <w:rFonts w:asciiTheme="majorHAnsi" w:eastAsia="Times New Roman" w:hAnsiTheme="majorHAnsi" w:cs="Arial"/>
          <w:sz w:val="22"/>
          <w:szCs w:val="20"/>
        </w:rPr>
      </w:pPr>
    </w:p>
    <w:p w14:paraId="66E29255" w14:textId="77777777" w:rsidR="000C4C36" w:rsidRPr="000C4C36" w:rsidRDefault="000C4C36" w:rsidP="000C4C36">
      <w:pPr>
        <w:ind w:left="1080"/>
        <w:jc w:val="both"/>
        <w:rPr>
          <w:rFonts w:asciiTheme="majorHAnsi" w:eastAsia="Times New Roman" w:hAnsiTheme="majorHAnsi" w:cs="Arial"/>
          <w:sz w:val="22"/>
          <w:szCs w:val="20"/>
        </w:rPr>
      </w:pPr>
    </w:p>
    <w:p w14:paraId="4A2F4D3D" w14:textId="76D11F2B" w:rsidR="00EA360E" w:rsidRPr="00145F79" w:rsidRDefault="00EA360E" w:rsidP="00F064A0">
      <w:pPr>
        <w:numPr>
          <w:ilvl w:val="0"/>
          <w:numId w:val="3"/>
        </w:numPr>
        <w:jc w:val="both"/>
        <w:rPr>
          <w:rFonts w:asciiTheme="majorHAnsi" w:eastAsia="Times New Roman" w:hAnsiTheme="majorHAnsi" w:cs="Arial"/>
          <w:sz w:val="22"/>
          <w:szCs w:val="20"/>
        </w:rPr>
      </w:pPr>
      <w:r w:rsidRPr="00145F79">
        <w:rPr>
          <w:rFonts w:asciiTheme="majorHAnsi" w:eastAsia="Times New Roman" w:hAnsiTheme="majorHAnsi" w:cs="Arial"/>
          <w:sz w:val="22"/>
          <w:szCs w:val="20"/>
        </w:rPr>
        <w:t>En las adquisiciones, arrendamientos y servicios, cuya vigencia rebase un ejercicio presupuestario, los entes deberán determinar tanto el presupuesto total como el relativo a los ejercicios de que se trate; en la formulación de los presupuestos de los ejercicios subsecuentes se considerarán los costos que, en su momento, se encuentren vigentes, y se dará prioridad a las previsiones para el cumplimiento de las obligaciones contraídas en ejercicios anteriores;</w:t>
      </w:r>
    </w:p>
    <w:p w14:paraId="561351A4" w14:textId="3BB5E26D" w:rsidR="00EA360E" w:rsidRPr="00145F79" w:rsidRDefault="00EA360E" w:rsidP="00F064A0">
      <w:pPr>
        <w:numPr>
          <w:ilvl w:val="0"/>
          <w:numId w:val="3"/>
        </w:numPr>
        <w:jc w:val="both"/>
        <w:rPr>
          <w:rFonts w:asciiTheme="majorHAnsi" w:eastAsia="Times New Roman" w:hAnsiTheme="majorHAnsi" w:cs="Arial"/>
          <w:sz w:val="22"/>
          <w:szCs w:val="20"/>
        </w:rPr>
      </w:pPr>
      <w:r w:rsidRPr="00145F79">
        <w:rPr>
          <w:rFonts w:asciiTheme="majorHAnsi" w:eastAsia="Times New Roman" w:hAnsiTheme="majorHAnsi" w:cs="Arial"/>
          <w:sz w:val="22"/>
          <w:szCs w:val="20"/>
        </w:rPr>
        <w:t>Los resultados de los indicadores de desempeño del ejercicio anterior; y</w:t>
      </w:r>
    </w:p>
    <w:p w14:paraId="3E2FEF06" w14:textId="77777777" w:rsidR="00EA360E" w:rsidRPr="00145F79" w:rsidRDefault="00EA360E" w:rsidP="00F064A0">
      <w:pPr>
        <w:numPr>
          <w:ilvl w:val="0"/>
          <w:numId w:val="3"/>
        </w:numPr>
        <w:jc w:val="both"/>
        <w:rPr>
          <w:rFonts w:asciiTheme="majorHAnsi" w:eastAsia="Times New Roman" w:hAnsiTheme="majorHAnsi" w:cs="Arial"/>
          <w:sz w:val="22"/>
          <w:szCs w:val="20"/>
        </w:rPr>
      </w:pPr>
      <w:r w:rsidRPr="00145F79">
        <w:rPr>
          <w:rFonts w:asciiTheme="majorHAnsi" w:eastAsia="Times New Roman" w:hAnsiTheme="majorHAnsi" w:cs="Arial"/>
          <w:sz w:val="22"/>
          <w:szCs w:val="20"/>
        </w:rPr>
        <w:t xml:space="preserve">Las demás previsiones que deban tomarse en cuenta según la naturaleza y características de las adquisiciones, arrendamientos o servicios. </w:t>
      </w:r>
    </w:p>
    <w:p w14:paraId="2C67569D" w14:textId="77777777" w:rsidR="00EA360E" w:rsidRPr="00145F79" w:rsidRDefault="00EA360E" w:rsidP="00F064A0">
      <w:pPr>
        <w:pStyle w:val="Prrafodelista"/>
        <w:jc w:val="both"/>
        <w:rPr>
          <w:rFonts w:asciiTheme="majorHAnsi" w:eastAsia="Times New Roman" w:hAnsiTheme="majorHAnsi" w:cs="Arial"/>
          <w:sz w:val="22"/>
          <w:szCs w:val="20"/>
        </w:rPr>
      </w:pPr>
    </w:p>
    <w:p w14:paraId="77107AE8" w14:textId="77777777" w:rsidR="00EA360E" w:rsidRPr="00145F79" w:rsidRDefault="00EA360E" w:rsidP="00F064A0">
      <w:pPr>
        <w:jc w:val="both"/>
        <w:rPr>
          <w:rFonts w:asciiTheme="majorHAnsi" w:hAnsiTheme="majorHAnsi" w:cs="Arial"/>
          <w:b/>
          <w:sz w:val="22"/>
          <w:szCs w:val="20"/>
        </w:rPr>
      </w:pPr>
      <w:r w:rsidRPr="00145F79">
        <w:rPr>
          <w:rFonts w:asciiTheme="majorHAnsi" w:eastAsia="Times New Roman" w:hAnsiTheme="majorHAnsi" w:cs="Arial"/>
          <w:b/>
          <w:bCs/>
          <w:sz w:val="22"/>
          <w:szCs w:val="20"/>
        </w:rPr>
        <w:t>Artículo 43.</w:t>
      </w:r>
    </w:p>
    <w:p w14:paraId="4E4805ED" w14:textId="77777777" w:rsidR="00EA360E" w:rsidRPr="00145F79" w:rsidRDefault="00EA360E" w:rsidP="00F064A0">
      <w:pPr>
        <w:jc w:val="both"/>
        <w:rPr>
          <w:rFonts w:asciiTheme="majorHAnsi" w:hAnsiTheme="majorHAnsi" w:cs="Calibri"/>
          <w:sz w:val="22"/>
          <w:szCs w:val="20"/>
        </w:rPr>
      </w:pPr>
      <w:r w:rsidRPr="00145F79">
        <w:rPr>
          <w:rFonts w:asciiTheme="majorHAnsi" w:eastAsia="Times New Roman" w:hAnsiTheme="majorHAnsi" w:cs="Arial"/>
          <w:sz w:val="22"/>
          <w:szCs w:val="20"/>
        </w:rPr>
        <w:t xml:space="preserve">1. Los programas de adquisiciones, arrendamientos y servicios, deberán contener, como mínimo, la descripción y monto de los bienes, arrendamientos y servicios que representen por lo menos el ochenta por ciento del presupuesto total estimado, así como el monto aproximado de los bienes, arrendamientos y servicios que integran el porcentaje restante. </w:t>
      </w:r>
    </w:p>
    <w:p w14:paraId="3C182173" w14:textId="77777777" w:rsidR="00EA360E" w:rsidRPr="00145F79" w:rsidRDefault="00EA360E" w:rsidP="00F064A0">
      <w:pPr>
        <w:jc w:val="both"/>
        <w:rPr>
          <w:rFonts w:asciiTheme="majorHAnsi" w:hAnsiTheme="majorHAnsi" w:cs="Arial"/>
          <w:b/>
          <w:bCs/>
          <w:sz w:val="22"/>
          <w:szCs w:val="20"/>
        </w:rPr>
      </w:pPr>
    </w:p>
    <w:p w14:paraId="04C81624" w14:textId="77777777" w:rsidR="00EA360E" w:rsidRPr="00145F79" w:rsidRDefault="00EA360E" w:rsidP="00F064A0">
      <w:pPr>
        <w:ind w:left="15"/>
        <w:jc w:val="both"/>
        <w:rPr>
          <w:rFonts w:asciiTheme="majorHAnsi" w:hAnsiTheme="majorHAnsi" w:cs="Calibri"/>
          <w:sz w:val="22"/>
          <w:szCs w:val="20"/>
        </w:rPr>
      </w:pPr>
      <w:r w:rsidRPr="00145F79">
        <w:rPr>
          <w:rFonts w:asciiTheme="majorHAnsi" w:eastAsia="Times New Roman" w:hAnsiTheme="majorHAnsi" w:cs="Arial"/>
          <w:b/>
          <w:bCs/>
          <w:sz w:val="22"/>
          <w:szCs w:val="20"/>
        </w:rPr>
        <w:t xml:space="preserve">Artículo 44. </w:t>
      </w:r>
    </w:p>
    <w:p w14:paraId="0B0622FF" w14:textId="77777777" w:rsidR="00EA360E" w:rsidRPr="00145F79" w:rsidRDefault="00EA360E" w:rsidP="00F064A0">
      <w:pPr>
        <w:ind w:left="15"/>
        <w:jc w:val="both"/>
        <w:rPr>
          <w:rFonts w:asciiTheme="majorHAnsi" w:hAnsiTheme="majorHAnsi"/>
          <w:sz w:val="22"/>
          <w:szCs w:val="20"/>
        </w:rPr>
      </w:pPr>
      <w:r w:rsidRPr="00145F79">
        <w:rPr>
          <w:rFonts w:asciiTheme="majorHAnsi" w:eastAsia="Times New Roman" w:hAnsiTheme="majorHAnsi" w:cs="Arial"/>
          <w:sz w:val="22"/>
          <w:szCs w:val="20"/>
        </w:rPr>
        <w:t xml:space="preserve">1. Los entes públicos deberán: </w:t>
      </w:r>
    </w:p>
    <w:p w14:paraId="057941CB" w14:textId="77777777" w:rsidR="00EA360E" w:rsidRPr="00145F79" w:rsidRDefault="00EA360E" w:rsidP="00F064A0">
      <w:pPr>
        <w:jc w:val="both"/>
        <w:rPr>
          <w:rFonts w:asciiTheme="majorHAnsi" w:hAnsiTheme="majorHAnsi"/>
          <w:sz w:val="22"/>
          <w:szCs w:val="20"/>
        </w:rPr>
      </w:pPr>
      <w:r w:rsidRPr="00145F79">
        <w:rPr>
          <w:rFonts w:asciiTheme="majorHAnsi" w:hAnsiTheme="majorHAnsi" w:cs="Arial"/>
          <w:sz w:val="22"/>
          <w:szCs w:val="20"/>
        </w:rPr>
        <w:t xml:space="preserve"> </w:t>
      </w:r>
    </w:p>
    <w:p w14:paraId="17DDC238" w14:textId="77777777" w:rsidR="00EA360E" w:rsidRPr="00145F79" w:rsidRDefault="00EA360E" w:rsidP="00F064A0">
      <w:pPr>
        <w:pStyle w:val="ListParagraph2"/>
        <w:numPr>
          <w:ilvl w:val="0"/>
          <w:numId w:val="4"/>
        </w:numPr>
        <w:spacing w:line="240" w:lineRule="auto"/>
        <w:jc w:val="both"/>
        <w:rPr>
          <w:rFonts w:asciiTheme="majorHAnsi" w:hAnsiTheme="majorHAnsi" w:cs="Arial"/>
          <w:szCs w:val="20"/>
        </w:rPr>
      </w:pPr>
      <w:r w:rsidRPr="00145F79">
        <w:rPr>
          <w:rFonts w:asciiTheme="majorHAnsi" w:hAnsiTheme="majorHAnsi" w:cs="Arial"/>
          <w:szCs w:val="20"/>
          <w:lang w:val="es-MX"/>
        </w:rPr>
        <w:t>Programar sus adquisiciones, arrendamientos y contratación de servicios en razón de sus necesidades reales, en forma anual y con sujeción al Presupuesto de Egresos vigente en cada ejercicio fiscal, debiéndolo remitir a través de la unidad centralizada de compras al órgano de gobierno que corresponda, para los efectos de su competencia, a más tardar el día 15 del mes de agosto del año anterior al año fiscal en que se aplique;</w:t>
      </w:r>
    </w:p>
    <w:p w14:paraId="31709E09" w14:textId="77777777" w:rsidR="00EA360E" w:rsidRPr="00145F79" w:rsidRDefault="00EA360E" w:rsidP="00F064A0">
      <w:pPr>
        <w:pStyle w:val="ListParagraph2"/>
        <w:numPr>
          <w:ilvl w:val="0"/>
          <w:numId w:val="4"/>
        </w:numPr>
        <w:spacing w:line="240" w:lineRule="auto"/>
        <w:jc w:val="both"/>
        <w:rPr>
          <w:rFonts w:asciiTheme="majorHAnsi" w:hAnsiTheme="majorHAnsi" w:cs="Arial"/>
          <w:szCs w:val="20"/>
        </w:rPr>
      </w:pPr>
      <w:r w:rsidRPr="00145F79">
        <w:rPr>
          <w:rFonts w:asciiTheme="majorHAnsi" w:hAnsiTheme="majorHAnsi" w:cs="Arial"/>
          <w:szCs w:val="20"/>
          <w:lang w:val="es-MX"/>
        </w:rPr>
        <w:t>Determinar las especificaciones de los bienes o servicios desde una perspectiva de requisitos técnicos mínimos y desempeño funcional, que permitan satisfacer las necesidades de contratación previamente identificadas;</w:t>
      </w:r>
    </w:p>
    <w:p w14:paraId="486B81E1" w14:textId="77777777" w:rsidR="00EA360E" w:rsidRPr="00145F79" w:rsidRDefault="00EA360E" w:rsidP="00F064A0">
      <w:pPr>
        <w:pStyle w:val="ListParagraph2"/>
        <w:numPr>
          <w:ilvl w:val="0"/>
          <w:numId w:val="4"/>
        </w:numPr>
        <w:spacing w:line="240" w:lineRule="auto"/>
        <w:jc w:val="both"/>
        <w:rPr>
          <w:rFonts w:asciiTheme="majorHAnsi" w:hAnsiTheme="majorHAnsi" w:cs="Arial"/>
          <w:szCs w:val="20"/>
        </w:rPr>
      </w:pPr>
      <w:r w:rsidRPr="00145F79">
        <w:rPr>
          <w:rFonts w:asciiTheme="majorHAnsi" w:hAnsiTheme="majorHAnsi" w:cs="Arial"/>
          <w:szCs w:val="20"/>
        </w:rPr>
        <w:t>Antes de optar por un producto en específico, el área requirente deberá manifestar la inexistencia de productos alternativos que puedan satisfacer las necesidades detectadas a un precio más bajo, o en su caso, la inexistencia de estudios o consultorías similares a las que se soliciten;</w:t>
      </w:r>
    </w:p>
    <w:p w14:paraId="5F6280EF" w14:textId="77777777" w:rsidR="00EA360E" w:rsidRPr="00145F79" w:rsidRDefault="00EA360E" w:rsidP="00F064A0">
      <w:pPr>
        <w:pStyle w:val="ListParagraph2"/>
        <w:numPr>
          <w:ilvl w:val="0"/>
          <w:numId w:val="4"/>
        </w:numPr>
        <w:spacing w:line="240" w:lineRule="auto"/>
        <w:jc w:val="both"/>
        <w:rPr>
          <w:rFonts w:asciiTheme="majorHAnsi" w:hAnsiTheme="majorHAnsi" w:cs="Arial"/>
          <w:szCs w:val="20"/>
        </w:rPr>
      </w:pPr>
      <w:r w:rsidRPr="00145F79">
        <w:rPr>
          <w:rFonts w:asciiTheme="majorHAnsi" w:hAnsiTheme="majorHAnsi" w:cs="Arial"/>
          <w:szCs w:val="20"/>
          <w:lang w:val="es-MX"/>
        </w:rPr>
        <w:t>Observar las recomendaciones que haga la Unidad centralizada de compras para mejorar los sistemas y procedimientos de adquisiciones, arrendamientos y contrataciones de servicios;</w:t>
      </w:r>
    </w:p>
    <w:p w14:paraId="60F935C0" w14:textId="77777777" w:rsidR="00EA360E" w:rsidRPr="00145F79" w:rsidRDefault="00EA360E" w:rsidP="00F064A0">
      <w:pPr>
        <w:pStyle w:val="ListParagraph2"/>
        <w:numPr>
          <w:ilvl w:val="0"/>
          <w:numId w:val="4"/>
        </w:numPr>
        <w:spacing w:line="240" w:lineRule="auto"/>
        <w:jc w:val="both"/>
        <w:rPr>
          <w:rFonts w:asciiTheme="majorHAnsi" w:hAnsiTheme="majorHAnsi" w:cs="Arial"/>
          <w:szCs w:val="20"/>
        </w:rPr>
      </w:pPr>
      <w:r w:rsidRPr="00145F79">
        <w:rPr>
          <w:rFonts w:asciiTheme="majorHAnsi" w:hAnsiTheme="majorHAnsi" w:cs="Arial"/>
          <w:szCs w:val="20"/>
          <w:lang w:val="es-MX"/>
        </w:rPr>
        <w:t>Tomar las medidas necesarias para el resguardo,  protección  y custodia de los bienes existentes,  tanto  en  términos  físicos como jurídicos y  mantener  actualizado su control e inventarios;</w:t>
      </w:r>
    </w:p>
    <w:p w14:paraId="538FFA4A" w14:textId="116DBBAC" w:rsidR="00EA360E" w:rsidRPr="006344ED" w:rsidRDefault="00EA360E" w:rsidP="006344ED">
      <w:pPr>
        <w:pStyle w:val="ListParagraph2"/>
        <w:numPr>
          <w:ilvl w:val="0"/>
          <w:numId w:val="4"/>
        </w:numPr>
        <w:spacing w:line="240" w:lineRule="auto"/>
        <w:jc w:val="both"/>
        <w:rPr>
          <w:rFonts w:asciiTheme="majorHAnsi" w:hAnsiTheme="majorHAnsi" w:cs="Arial"/>
          <w:szCs w:val="20"/>
        </w:rPr>
      </w:pPr>
      <w:r w:rsidRPr="00145F79">
        <w:rPr>
          <w:rFonts w:asciiTheme="majorHAnsi" w:hAnsiTheme="majorHAnsi" w:cs="Arial"/>
          <w:szCs w:val="20"/>
        </w:rPr>
        <w:t xml:space="preserve">Verificar en el Registro de Servicios de Consultoría, Asesoría, Estudios e Investigaciones la  existencia de  trabajos sobre  la  materia  de que  se trate, previo a la contratación de servicios de consultorías, asesorías, estudios e  investigaciones. Cuando se advierta la  existencia  de dichos trabajos y se compruebe que  los mismos satisfacen  los requerimientos  de   la dependencia,    entidad    o   unidad    administrativa, no  procederá  la contratación salvo que requieran su adecuación o complemento y siempre que no se </w:t>
      </w:r>
      <w:r w:rsidRPr="006344ED">
        <w:rPr>
          <w:rFonts w:asciiTheme="majorHAnsi" w:hAnsiTheme="majorHAnsi" w:cs="Arial"/>
          <w:szCs w:val="20"/>
        </w:rPr>
        <w:t>cuente con el personal capacitado las condiciones para su realización. El titular del área requirente justificará debidamente lo anterior ante el titular de la unidad centralizada de compras; y</w:t>
      </w:r>
    </w:p>
    <w:p w14:paraId="5581C62B" w14:textId="77777777" w:rsidR="00EA360E" w:rsidRPr="00145F79" w:rsidRDefault="00EA360E" w:rsidP="00F064A0">
      <w:pPr>
        <w:pStyle w:val="ListParagraph2"/>
        <w:numPr>
          <w:ilvl w:val="0"/>
          <w:numId w:val="4"/>
        </w:numPr>
        <w:spacing w:line="240" w:lineRule="auto"/>
        <w:jc w:val="both"/>
        <w:rPr>
          <w:rFonts w:asciiTheme="majorHAnsi" w:hAnsiTheme="majorHAnsi" w:cs="Arial"/>
          <w:szCs w:val="20"/>
        </w:rPr>
      </w:pPr>
      <w:r w:rsidRPr="00145F79">
        <w:rPr>
          <w:rFonts w:asciiTheme="majorHAnsi" w:hAnsiTheme="majorHAnsi" w:cs="Arial"/>
          <w:szCs w:val="20"/>
          <w:lang w:val="es-MX"/>
        </w:rPr>
        <w:t>Cumplir con las demás obligaciones que les impongan otras disposiciones.</w:t>
      </w:r>
      <w:r w:rsidRPr="00145F79">
        <w:rPr>
          <w:rFonts w:asciiTheme="majorHAnsi" w:hAnsiTheme="majorHAnsi" w:cs="Arial"/>
          <w:szCs w:val="20"/>
        </w:rPr>
        <w:t xml:space="preserve"> </w:t>
      </w:r>
    </w:p>
    <w:p w14:paraId="71C15FEE" w14:textId="77777777" w:rsidR="00EA360E" w:rsidRPr="00145F79" w:rsidRDefault="00EA360E" w:rsidP="00F064A0">
      <w:pPr>
        <w:jc w:val="both"/>
        <w:rPr>
          <w:rFonts w:asciiTheme="majorHAnsi" w:hAnsiTheme="majorHAnsi" w:cs="Arial"/>
          <w:b/>
          <w:sz w:val="22"/>
          <w:szCs w:val="20"/>
        </w:rPr>
      </w:pPr>
      <w:r w:rsidRPr="00145F79">
        <w:rPr>
          <w:rFonts w:asciiTheme="majorHAnsi" w:eastAsia="Times New Roman" w:hAnsiTheme="majorHAnsi" w:cs="Arial"/>
          <w:b/>
          <w:bCs/>
          <w:sz w:val="22"/>
          <w:szCs w:val="20"/>
        </w:rPr>
        <w:t xml:space="preserve">Artículo 45. </w:t>
      </w:r>
    </w:p>
    <w:p w14:paraId="228A2439" w14:textId="77777777" w:rsidR="00EA360E" w:rsidRPr="00145F79" w:rsidRDefault="00EA360E" w:rsidP="00F064A0">
      <w:pPr>
        <w:jc w:val="both"/>
        <w:rPr>
          <w:rFonts w:asciiTheme="majorHAnsi" w:hAnsiTheme="majorHAnsi" w:cs="Arial"/>
          <w:b/>
          <w:sz w:val="22"/>
          <w:szCs w:val="20"/>
        </w:rPr>
      </w:pPr>
      <w:r w:rsidRPr="00145F79">
        <w:rPr>
          <w:rFonts w:asciiTheme="majorHAnsi" w:eastAsia="Times New Roman" w:hAnsiTheme="majorHAnsi" w:cs="Arial"/>
          <w:sz w:val="22"/>
          <w:szCs w:val="20"/>
        </w:rPr>
        <w:t>1. Los entes públicos pondrán a disposición del público en general, a través del SECG y de su página en Internet, a más tardar el 31 de enero de cada año, su programa anual de adquisiciones, arrendamientos y servicios correspondiente al</w:t>
      </w:r>
      <w:r w:rsidRPr="00145F79">
        <w:rPr>
          <w:rFonts w:ascii="Arial" w:eastAsia="Times New Roman" w:hAnsi="Arial" w:cs="Arial"/>
          <w:sz w:val="22"/>
          <w:szCs w:val="20"/>
        </w:rPr>
        <w:t xml:space="preserve"> </w:t>
      </w:r>
      <w:r w:rsidRPr="00145F79">
        <w:rPr>
          <w:rFonts w:asciiTheme="majorHAnsi" w:eastAsia="Times New Roman" w:hAnsiTheme="majorHAnsi" w:cs="Arial"/>
          <w:sz w:val="22"/>
          <w:szCs w:val="20"/>
        </w:rPr>
        <w:t>ejercicio fiscal de que se trate, con excepción de aquella información que, de conformidad con las disposiciones aplicables, sea de naturaleza reservada o confidencial, en los términos establecidos en la legislación de la materia.</w:t>
      </w:r>
    </w:p>
    <w:p w14:paraId="289C74CD" w14:textId="77777777" w:rsidR="00EA360E" w:rsidRPr="00145F79" w:rsidRDefault="00EA360E" w:rsidP="00EA360E">
      <w:pPr>
        <w:rPr>
          <w:rFonts w:asciiTheme="majorHAnsi" w:hAnsiTheme="majorHAnsi" w:cs="Calibri"/>
          <w:sz w:val="22"/>
          <w:szCs w:val="20"/>
        </w:rPr>
      </w:pPr>
      <w:r w:rsidRPr="00145F79">
        <w:rPr>
          <w:rFonts w:asciiTheme="majorHAnsi" w:hAnsiTheme="majorHAnsi" w:cs="Arial"/>
          <w:sz w:val="22"/>
          <w:szCs w:val="20"/>
        </w:rPr>
        <w:t xml:space="preserve"> </w:t>
      </w:r>
    </w:p>
    <w:p w14:paraId="462CB008" w14:textId="77777777" w:rsidR="00EA360E" w:rsidRPr="00145F79" w:rsidRDefault="00EA360E" w:rsidP="00F064A0">
      <w:pPr>
        <w:jc w:val="both"/>
        <w:rPr>
          <w:rFonts w:asciiTheme="majorHAnsi" w:hAnsiTheme="majorHAnsi"/>
          <w:sz w:val="22"/>
          <w:szCs w:val="20"/>
        </w:rPr>
      </w:pPr>
      <w:r w:rsidRPr="00145F79">
        <w:rPr>
          <w:rFonts w:asciiTheme="majorHAnsi" w:eastAsia="Times New Roman" w:hAnsiTheme="majorHAnsi" w:cs="Arial"/>
          <w:sz w:val="22"/>
          <w:szCs w:val="20"/>
        </w:rPr>
        <w:t xml:space="preserve">2. Las adquisiciones, arrendamientos y servicios contenidas en el citado programa podrán ser adicionadas, modificadas, suspendidas o canceladas, sin responsabilidad alguna para el ente público de que se trate, debiendo informar de ello al Órgano de control y actualizar en forma mensual el programa en el SECG. </w:t>
      </w:r>
      <w:r w:rsidRPr="00145F79">
        <w:rPr>
          <w:rFonts w:asciiTheme="majorHAnsi" w:hAnsiTheme="majorHAnsi" w:cs="Arial"/>
          <w:sz w:val="22"/>
          <w:szCs w:val="20"/>
        </w:rPr>
        <w:t xml:space="preserve"> </w:t>
      </w:r>
    </w:p>
    <w:p w14:paraId="6EEEFC14" w14:textId="77777777" w:rsidR="00EA360E" w:rsidRPr="00145F79" w:rsidRDefault="00EA360E" w:rsidP="00F064A0">
      <w:pPr>
        <w:jc w:val="both"/>
        <w:rPr>
          <w:rFonts w:asciiTheme="majorHAnsi" w:hAnsiTheme="majorHAnsi"/>
          <w:sz w:val="22"/>
          <w:szCs w:val="20"/>
        </w:rPr>
      </w:pPr>
    </w:p>
    <w:p w14:paraId="25E54C33" w14:textId="3B6A0FDA" w:rsidR="00EA360E" w:rsidRPr="00145F79" w:rsidRDefault="00EA360E" w:rsidP="00F064A0">
      <w:pPr>
        <w:jc w:val="both"/>
        <w:rPr>
          <w:rFonts w:asciiTheme="majorHAnsi" w:hAnsiTheme="majorHAnsi"/>
          <w:sz w:val="22"/>
          <w:szCs w:val="20"/>
        </w:rPr>
      </w:pPr>
      <w:r w:rsidRPr="00145F79">
        <w:rPr>
          <w:rFonts w:asciiTheme="majorHAnsi" w:hAnsiTheme="majorHAnsi"/>
          <w:b/>
          <w:bCs/>
          <w:color w:val="000000"/>
          <w:sz w:val="22"/>
          <w:szCs w:val="20"/>
          <w:shd w:val="clear" w:color="auto" w:fill="FFFFFF"/>
        </w:rPr>
        <w:t>Artículo 46.</w:t>
      </w:r>
      <w:r w:rsidRPr="00145F79">
        <w:rPr>
          <w:rFonts w:asciiTheme="majorHAnsi" w:hAnsiTheme="majorHAnsi" w:cs="Arial"/>
          <w:color w:val="000000"/>
          <w:sz w:val="22"/>
          <w:szCs w:val="20"/>
        </w:rPr>
        <w:t> </w:t>
      </w:r>
    </w:p>
    <w:p w14:paraId="5FD2933C" w14:textId="68A8FC8B" w:rsidR="00EA360E" w:rsidRPr="00145F79" w:rsidRDefault="00EA360E" w:rsidP="00F064A0">
      <w:pPr>
        <w:jc w:val="both"/>
        <w:rPr>
          <w:rFonts w:asciiTheme="majorHAnsi" w:eastAsia="Times New Roman" w:hAnsiTheme="majorHAnsi" w:cs="Arial"/>
          <w:sz w:val="22"/>
          <w:szCs w:val="20"/>
          <w:lang w:val="es-ES"/>
        </w:rPr>
      </w:pPr>
      <w:r w:rsidRPr="00145F79">
        <w:rPr>
          <w:rFonts w:asciiTheme="majorHAnsi" w:hAnsiTheme="majorHAnsi" w:cs="Arial"/>
          <w:color w:val="000000"/>
          <w:sz w:val="22"/>
          <w:szCs w:val="20"/>
        </w:rPr>
        <w:t xml:space="preserve">1. </w:t>
      </w:r>
      <w:r w:rsidRPr="00145F79">
        <w:rPr>
          <w:rFonts w:asciiTheme="majorHAnsi" w:hAnsiTheme="majorHAnsi"/>
          <w:color w:val="000000"/>
          <w:sz w:val="22"/>
          <w:szCs w:val="20"/>
          <w:shd w:val="clear" w:color="auto" w:fill="FFFFFF"/>
        </w:rPr>
        <w:t>Los entes públicos podrán llevar a cabo compras haciendo uso de sus respectivos fondos revolventes, observando para ello los montos que para tal efecto se establezcan en sus respectivos presupuestos de egresos, y demás normatividad aplicable.</w:t>
      </w:r>
    </w:p>
    <w:p w14:paraId="2ADC0D7C" w14:textId="77777777" w:rsidR="00EA360E" w:rsidRPr="00EA360E" w:rsidRDefault="00EA360E" w:rsidP="00F064A0">
      <w:pPr>
        <w:jc w:val="both"/>
        <w:rPr>
          <w:rFonts w:asciiTheme="majorHAnsi" w:hAnsiTheme="majorHAnsi" w:cs="Arial"/>
          <w:b/>
          <w:sz w:val="22"/>
          <w:szCs w:val="22"/>
        </w:rPr>
      </w:pPr>
    </w:p>
    <w:p w14:paraId="53535A0C" w14:textId="1F8A81DD" w:rsidR="00EA360E" w:rsidRDefault="00EA360E" w:rsidP="00F064A0">
      <w:pPr>
        <w:spacing w:line="276" w:lineRule="auto"/>
        <w:jc w:val="both"/>
        <w:rPr>
          <w:rFonts w:asciiTheme="majorHAnsi" w:eastAsia="Times New Roman" w:hAnsiTheme="majorHAnsi" w:cs="Arial"/>
          <w:b/>
          <w:sz w:val="22"/>
          <w:szCs w:val="20"/>
          <w:lang w:eastAsia="es-MX"/>
        </w:rPr>
      </w:pPr>
      <w:r w:rsidRPr="00EA360E">
        <w:rPr>
          <w:rFonts w:asciiTheme="majorHAnsi" w:eastAsia="Times New Roman" w:hAnsiTheme="majorHAnsi" w:cs="Arial"/>
          <w:b/>
          <w:sz w:val="22"/>
          <w:szCs w:val="20"/>
          <w:lang w:eastAsia="es-MX"/>
        </w:rPr>
        <w:t>REGLAMENTO DE LA LEY DE COMPRAS GUBERNAMENTALES, ENAJENACIONES Y CONTRATACIÓN DE SERVICIOS DEL ESTADO DE JALISCO Y SUS MUNICIPIOS, PARA EL PODER EJECUTIVO DEL ESTADO DE JALISCO</w:t>
      </w:r>
    </w:p>
    <w:p w14:paraId="3F113620" w14:textId="77777777" w:rsidR="00EA360E" w:rsidRPr="00EA360E" w:rsidRDefault="00EA360E" w:rsidP="00F064A0">
      <w:pPr>
        <w:spacing w:line="360" w:lineRule="auto"/>
        <w:jc w:val="both"/>
        <w:rPr>
          <w:rFonts w:asciiTheme="majorHAnsi" w:eastAsia="Times New Roman" w:hAnsiTheme="majorHAnsi" w:cs="Arial"/>
          <w:b/>
          <w:sz w:val="6"/>
          <w:szCs w:val="20"/>
          <w:lang w:eastAsia="es-MX"/>
        </w:rPr>
      </w:pPr>
    </w:p>
    <w:p w14:paraId="7ADCF2BD" w14:textId="77B32119" w:rsidR="00EA360E" w:rsidRDefault="00EA360E" w:rsidP="00F064A0">
      <w:pPr>
        <w:spacing w:line="360" w:lineRule="auto"/>
        <w:jc w:val="both"/>
        <w:rPr>
          <w:rFonts w:asciiTheme="majorHAnsi" w:eastAsia="Times New Roman" w:hAnsiTheme="majorHAnsi" w:cs="Arial"/>
          <w:b/>
          <w:sz w:val="22"/>
          <w:szCs w:val="20"/>
          <w:lang w:eastAsia="es-MX"/>
        </w:rPr>
      </w:pPr>
      <w:r>
        <w:rPr>
          <w:rFonts w:asciiTheme="majorHAnsi" w:eastAsia="Times New Roman" w:hAnsiTheme="majorHAnsi" w:cs="Arial"/>
          <w:b/>
          <w:sz w:val="22"/>
          <w:szCs w:val="20"/>
          <w:lang w:eastAsia="es-MX"/>
        </w:rPr>
        <w:t>CAPÍTULO I</w:t>
      </w:r>
    </w:p>
    <w:p w14:paraId="412D08B0" w14:textId="6F0947E0" w:rsidR="00EA360E" w:rsidRPr="00EA360E" w:rsidRDefault="00EA360E" w:rsidP="00F064A0">
      <w:pPr>
        <w:jc w:val="both"/>
        <w:rPr>
          <w:rFonts w:asciiTheme="majorHAnsi" w:eastAsia="Times New Roman" w:hAnsiTheme="majorHAnsi" w:cs="Arial"/>
          <w:b/>
          <w:sz w:val="22"/>
          <w:szCs w:val="20"/>
          <w:lang w:eastAsia="es-MX"/>
        </w:rPr>
      </w:pPr>
      <w:r w:rsidRPr="00EA360E">
        <w:rPr>
          <w:rFonts w:asciiTheme="majorHAnsi" w:eastAsia="Times New Roman" w:hAnsiTheme="majorHAnsi" w:cs="Arial"/>
          <w:b/>
          <w:sz w:val="22"/>
          <w:szCs w:val="20"/>
          <w:lang w:eastAsia="es-MX"/>
        </w:rPr>
        <w:t>DE LA</w:t>
      </w:r>
      <w:r>
        <w:rPr>
          <w:rFonts w:asciiTheme="majorHAnsi" w:eastAsia="Times New Roman" w:hAnsiTheme="majorHAnsi" w:cs="Arial"/>
          <w:b/>
          <w:sz w:val="22"/>
          <w:szCs w:val="20"/>
          <w:lang w:eastAsia="es-MX"/>
        </w:rPr>
        <w:t xml:space="preserve"> PROGRAMACIÓN Y PRESUPUESTACIÓN </w:t>
      </w:r>
      <w:r w:rsidRPr="00EA360E">
        <w:rPr>
          <w:rFonts w:asciiTheme="majorHAnsi" w:eastAsia="Times New Roman" w:hAnsiTheme="majorHAnsi" w:cs="Arial"/>
          <w:b/>
          <w:sz w:val="22"/>
          <w:szCs w:val="20"/>
          <w:lang w:eastAsia="es-MX"/>
        </w:rPr>
        <w:t>DE ADQUISIC</w:t>
      </w:r>
      <w:r>
        <w:rPr>
          <w:rFonts w:asciiTheme="majorHAnsi" w:eastAsia="Times New Roman" w:hAnsiTheme="majorHAnsi" w:cs="Arial"/>
          <w:b/>
          <w:sz w:val="22"/>
          <w:szCs w:val="20"/>
          <w:lang w:eastAsia="es-MX"/>
        </w:rPr>
        <w:t xml:space="preserve">IONES DE BIENES, ARRENDAMIENTOS </w:t>
      </w:r>
      <w:r w:rsidRPr="00EA360E">
        <w:rPr>
          <w:rFonts w:asciiTheme="majorHAnsi" w:eastAsia="Times New Roman" w:hAnsiTheme="majorHAnsi" w:cs="Arial"/>
          <w:b/>
          <w:sz w:val="22"/>
          <w:szCs w:val="20"/>
          <w:lang w:eastAsia="es-MX"/>
        </w:rPr>
        <w:t>Y CONTRATACIÓN DE SERVICIOS</w:t>
      </w:r>
    </w:p>
    <w:p w14:paraId="56FE0FE8" w14:textId="77777777" w:rsidR="00EA360E" w:rsidRDefault="00EA360E" w:rsidP="00F064A0">
      <w:pPr>
        <w:jc w:val="both"/>
        <w:rPr>
          <w:rFonts w:asciiTheme="majorHAnsi" w:hAnsiTheme="majorHAnsi" w:cs="Arial"/>
          <w:b/>
          <w:sz w:val="22"/>
          <w:szCs w:val="22"/>
          <w:lang w:val="es-MX"/>
        </w:rPr>
      </w:pPr>
    </w:p>
    <w:p w14:paraId="1DB62504" w14:textId="77777777" w:rsidR="00145F79" w:rsidRPr="00145F79" w:rsidRDefault="00145F79" w:rsidP="00F064A0">
      <w:pPr>
        <w:jc w:val="both"/>
        <w:rPr>
          <w:rFonts w:asciiTheme="majorHAnsi" w:hAnsiTheme="majorHAnsi" w:cs="Arial"/>
          <w:sz w:val="22"/>
          <w:szCs w:val="22"/>
          <w:lang w:val="es-MX"/>
        </w:rPr>
      </w:pPr>
      <w:r w:rsidRPr="00145F79">
        <w:rPr>
          <w:rFonts w:asciiTheme="majorHAnsi" w:hAnsiTheme="majorHAnsi" w:cs="Arial"/>
          <w:b/>
          <w:sz w:val="22"/>
          <w:szCs w:val="22"/>
          <w:lang w:val="es-MX"/>
        </w:rPr>
        <w:t>Artículo 6.</w:t>
      </w:r>
      <w:r w:rsidRPr="00145F79">
        <w:rPr>
          <w:rFonts w:asciiTheme="majorHAnsi" w:hAnsiTheme="majorHAnsi" w:cs="Arial"/>
          <w:sz w:val="22"/>
          <w:szCs w:val="22"/>
          <w:lang w:val="es-MX"/>
        </w:rPr>
        <w:t xml:space="preserve"> Las Dependencias y Entidades deberán formular sus programas  anuales de adquisiciones de bienes, arrendamientos y contratación de servicios, con base en sus necesidades reales y con sujeción al presupuesto de egresos vigente en cada ejercicio fiscal. En este sentido, las Dependencias y Entidades deberán presentarlos a la Secretaría a más tardar el 15 de Agosto del año anterior del ejercicio para el que se programen, debiendo integrar en la propuesta:</w:t>
      </w:r>
    </w:p>
    <w:p w14:paraId="6FB6CD83" w14:textId="77777777" w:rsidR="00145F79" w:rsidRPr="00145F79" w:rsidRDefault="00145F79" w:rsidP="00145F79">
      <w:pPr>
        <w:rPr>
          <w:rFonts w:asciiTheme="majorHAnsi" w:hAnsiTheme="majorHAnsi" w:cs="Arial"/>
          <w:sz w:val="22"/>
          <w:szCs w:val="22"/>
          <w:lang w:val="es-MX"/>
        </w:rPr>
      </w:pPr>
    </w:p>
    <w:p w14:paraId="6A506C26" w14:textId="0605F6F5" w:rsidR="00145F79" w:rsidRPr="00145F79" w:rsidRDefault="00145F79" w:rsidP="00F064A0">
      <w:pPr>
        <w:pStyle w:val="Prrafodelista"/>
        <w:numPr>
          <w:ilvl w:val="0"/>
          <w:numId w:val="5"/>
        </w:numPr>
        <w:jc w:val="both"/>
        <w:rPr>
          <w:rFonts w:asciiTheme="majorHAnsi" w:hAnsiTheme="majorHAnsi" w:cs="Arial"/>
          <w:sz w:val="22"/>
          <w:szCs w:val="22"/>
          <w:lang w:val="es-MX"/>
        </w:rPr>
      </w:pPr>
      <w:r w:rsidRPr="00145F79">
        <w:rPr>
          <w:rFonts w:asciiTheme="majorHAnsi" w:hAnsiTheme="majorHAnsi" w:cs="Arial"/>
          <w:sz w:val="22"/>
          <w:szCs w:val="22"/>
          <w:lang w:val="es-MX"/>
        </w:rPr>
        <w:t xml:space="preserve">Sus objetivos y metas a corto y mediano plazo; </w:t>
      </w:r>
    </w:p>
    <w:p w14:paraId="1EEBF08A" w14:textId="5F058A2D" w:rsidR="00145F79" w:rsidRPr="00145F79" w:rsidRDefault="00145F79" w:rsidP="00F064A0">
      <w:pPr>
        <w:pStyle w:val="Prrafodelista"/>
        <w:numPr>
          <w:ilvl w:val="0"/>
          <w:numId w:val="5"/>
        </w:numPr>
        <w:jc w:val="both"/>
        <w:rPr>
          <w:rFonts w:asciiTheme="majorHAnsi" w:hAnsiTheme="majorHAnsi" w:cs="Arial"/>
          <w:sz w:val="22"/>
          <w:szCs w:val="22"/>
          <w:lang w:val="es-MX"/>
        </w:rPr>
      </w:pPr>
      <w:r w:rsidRPr="00145F79">
        <w:rPr>
          <w:rFonts w:asciiTheme="majorHAnsi" w:hAnsiTheme="majorHAnsi" w:cs="Arial"/>
          <w:sz w:val="22"/>
          <w:szCs w:val="22"/>
          <w:lang w:val="es-MX"/>
        </w:rPr>
        <w:t xml:space="preserve">La existencia de los bienes en sus almacenes mediante inventarios. </w:t>
      </w:r>
    </w:p>
    <w:p w14:paraId="71C0C35A" w14:textId="206AEA0E" w:rsidR="00145F79" w:rsidRPr="00145F79" w:rsidRDefault="00145F79" w:rsidP="00F064A0">
      <w:pPr>
        <w:pStyle w:val="Prrafodelista"/>
        <w:numPr>
          <w:ilvl w:val="0"/>
          <w:numId w:val="5"/>
        </w:numPr>
        <w:jc w:val="both"/>
        <w:rPr>
          <w:rFonts w:asciiTheme="majorHAnsi" w:hAnsiTheme="majorHAnsi" w:cs="Arial"/>
          <w:sz w:val="22"/>
          <w:szCs w:val="22"/>
          <w:lang w:val="es-MX"/>
        </w:rPr>
      </w:pPr>
      <w:r w:rsidRPr="00145F79">
        <w:rPr>
          <w:rFonts w:asciiTheme="majorHAnsi" w:hAnsiTheme="majorHAnsi" w:cs="Arial"/>
          <w:sz w:val="22"/>
          <w:szCs w:val="22"/>
          <w:lang w:val="es-MX"/>
        </w:rPr>
        <w:t>Verificar la inexistencia de servicios de consultorías, asesorías, estudios e investigaciones a contratar, en los términos señalados en la Ley;</w:t>
      </w:r>
    </w:p>
    <w:p w14:paraId="7B9B3D82" w14:textId="0C9E359C" w:rsidR="00145F79" w:rsidRPr="00145F79" w:rsidRDefault="00145F79" w:rsidP="00F064A0">
      <w:pPr>
        <w:pStyle w:val="Prrafodelista"/>
        <w:numPr>
          <w:ilvl w:val="0"/>
          <w:numId w:val="5"/>
        </w:numPr>
        <w:jc w:val="both"/>
        <w:rPr>
          <w:rFonts w:asciiTheme="majorHAnsi" w:hAnsiTheme="majorHAnsi" w:cs="Arial"/>
          <w:sz w:val="22"/>
          <w:szCs w:val="22"/>
          <w:lang w:val="es-MX"/>
        </w:rPr>
      </w:pPr>
      <w:r w:rsidRPr="00145F79">
        <w:rPr>
          <w:rFonts w:asciiTheme="majorHAnsi" w:hAnsiTheme="majorHAnsi" w:cs="Arial"/>
          <w:sz w:val="22"/>
          <w:szCs w:val="22"/>
          <w:lang w:val="es-MX"/>
        </w:rPr>
        <w:t xml:space="preserve">Las acciones previas, durante y posteriores a la realización de las adquisiciones, arrendamientos y contratación de servicios; </w:t>
      </w:r>
    </w:p>
    <w:p w14:paraId="732F0C41" w14:textId="4982E59E" w:rsidR="00145F79" w:rsidRPr="00145F79" w:rsidRDefault="00145F79" w:rsidP="00F064A0">
      <w:pPr>
        <w:pStyle w:val="Prrafodelista"/>
        <w:numPr>
          <w:ilvl w:val="0"/>
          <w:numId w:val="5"/>
        </w:numPr>
        <w:jc w:val="both"/>
        <w:rPr>
          <w:rFonts w:asciiTheme="majorHAnsi" w:hAnsiTheme="majorHAnsi" w:cs="Arial"/>
          <w:sz w:val="22"/>
          <w:szCs w:val="22"/>
          <w:lang w:val="es-MX"/>
        </w:rPr>
      </w:pPr>
      <w:r w:rsidRPr="00145F79">
        <w:rPr>
          <w:rFonts w:asciiTheme="majorHAnsi" w:hAnsiTheme="majorHAnsi" w:cs="Arial"/>
          <w:sz w:val="22"/>
          <w:szCs w:val="22"/>
          <w:lang w:val="es-MX"/>
        </w:rPr>
        <w:t xml:space="preserve">Las especificaciones de los bienes y servicios; </w:t>
      </w:r>
    </w:p>
    <w:p w14:paraId="7296D541" w14:textId="4938D1AB" w:rsidR="00145F79" w:rsidRPr="00145F79" w:rsidRDefault="00145F79" w:rsidP="00F064A0">
      <w:pPr>
        <w:pStyle w:val="Prrafodelista"/>
        <w:numPr>
          <w:ilvl w:val="0"/>
          <w:numId w:val="5"/>
        </w:numPr>
        <w:jc w:val="both"/>
        <w:rPr>
          <w:rFonts w:asciiTheme="majorHAnsi" w:hAnsiTheme="majorHAnsi" w:cs="Arial"/>
          <w:sz w:val="22"/>
          <w:szCs w:val="22"/>
          <w:lang w:val="es-MX"/>
        </w:rPr>
      </w:pPr>
      <w:r w:rsidRPr="00145F79">
        <w:rPr>
          <w:rFonts w:asciiTheme="majorHAnsi" w:hAnsiTheme="majorHAnsi" w:cs="Arial"/>
          <w:sz w:val="22"/>
          <w:szCs w:val="22"/>
          <w:lang w:val="es-MX"/>
        </w:rPr>
        <w:t xml:space="preserve">Las normas de calidad de los bienes y los plazos estimados de los calendarios financieros; y </w:t>
      </w:r>
    </w:p>
    <w:p w14:paraId="1F8009D7" w14:textId="6672F15C" w:rsidR="00145F79" w:rsidRPr="00145F79" w:rsidRDefault="00145F79" w:rsidP="00F064A0">
      <w:pPr>
        <w:pStyle w:val="Prrafodelista"/>
        <w:numPr>
          <w:ilvl w:val="0"/>
          <w:numId w:val="5"/>
        </w:numPr>
        <w:jc w:val="both"/>
        <w:rPr>
          <w:rFonts w:asciiTheme="majorHAnsi" w:hAnsiTheme="majorHAnsi" w:cs="Arial"/>
          <w:sz w:val="22"/>
          <w:szCs w:val="22"/>
          <w:lang w:val="es-MX"/>
        </w:rPr>
      </w:pPr>
      <w:r w:rsidRPr="00145F79">
        <w:rPr>
          <w:rFonts w:asciiTheme="majorHAnsi" w:hAnsiTheme="majorHAnsi" w:cs="Arial"/>
          <w:sz w:val="22"/>
          <w:szCs w:val="22"/>
          <w:lang w:val="es-MX"/>
        </w:rPr>
        <w:t xml:space="preserve">Los requerimientos para la conservación y mantenimiento de los bienes muebles y ampliación de la capacidad de los servicios que presten. </w:t>
      </w:r>
    </w:p>
    <w:p w14:paraId="0E062DE3" w14:textId="77777777" w:rsidR="00145F79" w:rsidRPr="00145F79" w:rsidRDefault="00145F79" w:rsidP="00F064A0">
      <w:pPr>
        <w:jc w:val="both"/>
        <w:rPr>
          <w:rFonts w:asciiTheme="majorHAnsi" w:hAnsiTheme="majorHAnsi" w:cs="Arial"/>
          <w:sz w:val="22"/>
          <w:szCs w:val="22"/>
          <w:lang w:val="es-MX"/>
        </w:rPr>
      </w:pPr>
    </w:p>
    <w:p w14:paraId="34713AA5" w14:textId="77777777" w:rsidR="000C4C36" w:rsidRDefault="000C4C36" w:rsidP="00F064A0">
      <w:pPr>
        <w:jc w:val="both"/>
        <w:rPr>
          <w:rFonts w:asciiTheme="majorHAnsi" w:hAnsiTheme="majorHAnsi" w:cs="Arial"/>
          <w:sz w:val="22"/>
          <w:szCs w:val="22"/>
          <w:lang w:val="es-MX"/>
        </w:rPr>
      </w:pPr>
    </w:p>
    <w:p w14:paraId="1E1B1A75" w14:textId="77777777" w:rsidR="00145F79" w:rsidRPr="00145F79" w:rsidRDefault="00145F79" w:rsidP="00F064A0">
      <w:pPr>
        <w:jc w:val="both"/>
        <w:rPr>
          <w:rFonts w:asciiTheme="majorHAnsi" w:hAnsiTheme="majorHAnsi" w:cs="Arial"/>
          <w:sz w:val="22"/>
          <w:szCs w:val="22"/>
          <w:lang w:val="es-MX"/>
        </w:rPr>
      </w:pPr>
      <w:r w:rsidRPr="00145F79">
        <w:rPr>
          <w:rFonts w:asciiTheme="majorHAnsi" w:hAnsiTheme="majorHAnsi" w:cs="Arial"/>
          <w:sz w:val="22"/>
          <w:szCs w:val="22"/>
          <w:lang w:val="es-MX"/>
        </w:rPr>
        <w:t xml:space="preserve">En la programación de las adquisiciones, se deberán considerar, en la medida de lo posible, bienes de manufactura estatal provenientes de micro, pequeñas o medianas empresas con asiento o domicilio en el Estado, o alguna de las anteriores. En caso de no ser posible lo anterior, deberán considerarse bienes de manufactura nacional, proveedores nacionales, o alguna de las anteriores. </w:t>
      </w:r>
    </w:p>
    <w:p w14:paraId="10D2CECD" w14:textId="77777777" w:rsidR="00145F79" w:rsidRPr="00145F79" w:rsidRDefault="00145F79" w:rsidP="00F064A0">
      <w:pPr>
        <w:jc w:val="both"/>
        <w:rPr>
          <w:rFonts w:asciiTheme="majorHAnsi" w:hAnsiTheme="majorHAnsi" w:cs="Arial"/>
          <w:sz w:val="22"/>
          <w:szCs w:val="22"/>
          <w:lang w:val="es-MX"/>
        </w:rPr>
      </w:pPr>
    </w:p>
    <w:p w14:paraId="1256312F" w14:textId="56B3B671" w:rsidR="00EA360E" w:rsidRPr="00145F79" w:rsidRDefault="00145F79" w:rsidP="00F064A0">
      <w:pPr>
        <w:jc w:val="both"/>
        <w:rPr>
          <w:rFonts w:asciiTheme="majorHAnsi" w:hAnsiTheme="majorHAnsi" w:cs="Arial"/>
          <w:sz w:val="22"/>
          <w:szCs w:val="22"/>
          <w:lang w:val="es-MX"/>
        </w:rPr>
      </w:pPr>
      <w:r w:rsidRPr="00145F79">
        <w:rPr>
          <w:rFonts w:asciiTheme="majorHAnsi" w:hAnsiTheme="majorHAnsi" w:cs="Arial"/>
          <w:sz w:val="22"/>
          <w:szCs w:val="22"/>
          <w:lang w:val="es-MX"/>
        </w:rPr>
        <w:t xml:space="preserve">Se deberán considerar preferentemente lo bienes o servicios provenientes del Estado, así como aquellos de procedencia nacional, con especial atención a los sectores económicos cuya promoción, fomento y desarrollo, estén comprendidos en los objetivos del Plan Estatal de Desarrollo y en los Programas Sectoriales respectivos. Asimismo, se deberán incluir </w:t>
      </w:r>
      <w:r>
        <w:rPr>
          <w:rFonts w:asciiTheme="majorHAnsi" w:hAnsiTheme="majorHAnsi" w:cs="Arial"/>
          <w:sz w:val="22"/>
          <w:szCs w:val="22"/>
          <w:lang w:val="es-MX"/>
        </w:rPr>
        <w:t xml:space="preserve">los insumos, </w:t>
      </w:r>
      <w:r w:rsidRPr="00145F79">
        <w:rPr>
          <w:rFonts w:asciiTheme="majorHAnsi" w:hAnsiTheme="majorHAnsi" w:cs="Arial"/>
          <w:sz w:val="22"/>
          <w:szCs w:val="22"/>
          <w:lang w:val="es-MX"/>
        </w:rPr>
        <w:t>material, equipo, sistemas y servicios que tenga incorporada tecnología generada en el Estado, o en su defecto la nacional, tomando en cuenta los requerimientos técnicos y económicos que tengan las adquisiciones que se vayan a hacer en el Estado, en el país o en el extranjero. De igual forma, se considerarán aquellos bienes que presenten los mejores grados de protección al medio ambiente para su fabricación, de acuerdo con las directrices que para tal efecto emita la Secretaría del Medio Ambiente para el Desarrollo Sustentable.</w:t>
      </w:r>
    </w:p>
    <w:p w14:paraId="6BB52A85" w14:textId="77777777" w:rsidR="00EA360E" w:rsidRDefault="00EA360E" w:rsidP="00F064A0">
      <w:pPr>
        <w:jc w:val="both"/>
        <w:rPr>
          <w:rFonts w:asciiTheme="majorHAnsi" w:hAnsiTheme="majorHAnsi" w:cs="Arial"/>
          <w:b/>
          <w:sz w:val="22"/>
          <w:szCs w:val="22"/>
          <w:lang w:val="es-MX"/>
        </w:rPr>
      </w:pPr>
    </w:p>
    <w:p w14:paraId="2A72C420" w14:textId="77777777" w:rsidR="00145F79" w:rsidRPr="00145F79" w:rsidRDefault="00145F79" w:rsidP="00F064A0">
      <w:pPr>
        <w:jc w:val="both"/>
        <w:rPr>
          <w:rFonts w:asciiTheme="majorHAnsi" w:hAnsiTheme="majorHAnsi" w:cs="Arial"/>
          <w:sz w:val="22"/>
          <w:szCs w:val="22"/>
          <w:lang w:val="es-MX"/>
        </w:rPr>
      </w:pPr>
      <w:r w:rsidRPr="00145F79">
        <w:rPr>
          <w:rFonts w:asciiTheme="majorHAnsi" w:hAnsiTheme="majorHAnsi" w:cs="Arial"/>
          <w:b/>
          <w:sz w:val="22"/>
          <w:szCs w:val="22"/>
          <w:lang w:val="es-MX"/>
        </w:rPr>
        <w:t>Artículo 15.</w:t>
      </w:r>
      <w:r w:rsidRPr="00145F79">
        <w:rPr>
          <w:rFonts w:asciiTheme="majorHAnsi" w:hAnsiTheme="majorHAnsi" w:cs="Arial"/>
          <w:sz w:val="22"/>
          <w:szCs w:val="22"/>
          <w:lang w:val="es-MX"/>
        </w:rPr>
        <w:t xml:space="preserve"> Para establecer el monto de cada uno de los procedimientos de adquisición de bienes, servicios o arrendamientos de los Organismos Públicos Descentralizados, las Empresas de Participación Estatal y los Fideicomisos Públicos del Estado, se tomará en cuenta el resultado de la suma de los capítulos 2000 “Materiales y Suministros”, 3000 “Servicios Generales” y 5000 “Bienes Muebles, Inmuebles e intangibles” del Presupuesto de Egresos autorizado, y se clasificará a las entidades de la siguiente manera:</w:t>
      </w:r>
    </w:p>
    <w:p w14:paraId="0FDACFE0" w14:textId="77777777" w:rsidR="00145F79" w:rsidRPr="00145F79" w:rsidRDefault="00145F79" w:rsidP="00145F79">
      <w:pPr>
        <w:rPr>
          <w:rFonts w:asciiTheme="majorHAnsi" w:hAnsiTheme="majorHAnsi" w:cs="Arial"/>
          <w:sz w:val="22"/>
          <w:szCs w:val="22"/>
          <w:lang w:val="es-MX"/>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29"/>
        <w:gridCol w:w="2824"/>
      </w:tblGrid>
      <w:tr w:rsidR="00145F79" w:rsidRPr="00145F79" w14:paraId="156B3827" w14:textId="77777777" w:rsidTr="00145F79">
        <w:trPr>
          <w:jc w:val="center"/>
        </w:trPr>
        <w:tc>
          <w:tcPr>
            <w:tcW w:w="1829" w:type="dxa"/>
            <w:tcBorders>
              <w:top w:val="single" w:sz="4" w:space="0" w:color="000000"/>
              <w:left w:val="single" w:sz="4" w:space="0" w:color="000000"/>
              <w:bottom w:val="single" w:sz="4" w:space="0" w:color="000000"/>
              <w:right w:val="single" w:sz="4" w:space="0" w:color="000000"/>
            </w:tcBorders>
          </w:tcPr>
          <w:p w14:paraId="58658C74" w14:textId="77777777" w:rsidR="00145F79" w:rsidRPr="00145F79" w:rsidRDefault="00145F79" w:rsidP="00145F79">
            <w:pPr>
              <w:rPr>
                <w:rFonts w:asciiTheme="majorHAnsi" w:hAnsiTheme="majorHAnsi" w:cs="Arial"/>
                <w:sz w:val="22"/>
                <w:szCs w:val="22"/>
                <w:lang w:val="es-MX"/>
              </w:rPr>
            </w:pPr>
            <w:r w:rsidRPr="00145F79">
              <w:rPr>
                <w:rFonts w:asciiTheme="majorHAnsi" w:hAnsiTheme="majorHAnsi" w:cs="Arial"/>
                <w:sz w:val="22"/>
                <w:szCs w:val="22"/>
                <w:lang w:val="es-MX"/>
              </w:rPr>
              <w:t>Clasificación</w:t>
            </w:r>
          </w:p>
          <w:p w14:paraId="4ACA344D" w14:textId="77777777" w:rsidR="00145F79" w:rsidRPr="00145F79" w:rsidRDefault="00145F79" w:rsidP="00145F79">
            <w:pPr>
              <w:rPr>
                <w:rFonts w:asciiTheme="majorHAnsi" w:hAnsiTheme="majorHAnsi" w:cs="Arial"/>
                <w:sz w:val="22"/>
                <w:szCs w:val="22"/>
                <w:lang w:val="es-MX"/>
              </w:rPr>
            </w:pPr>
          </w:p>
        </w:tc>
        <w:tc>
          <w:tcPr>
            <w:tcW w:w="2824" w:type="dxa"/>
            <w:tcBorders>
              <w:top w:val="single" w:sz="4" w:space="0" w:color="000000"/>
              <w:left w:val="single" w:sz="4" w:space="0" w:color="000000"/>
              <w:bottom w:val="single" w:sz="4" w:space="0" w:color="000000"/>
              <w:right w:val="single" w:sz="4" w:space="0" w:color="000000"/>
            </w:tcBorders>
          </w:tcPr>
          <w:p w14:paraId="4A4558F8" w14:textId="77777777" w:rsidR="00145F79" w:rsidRPr="00145F79" w:rsidRDefault="00145F79" w:rsidP="00145F79">
            <w:pPr>
              <w:rPr>
                <w:rFonts w:asciiTheme="majorHAnsi" w:hAnsiTheme="majorHAnsi" w:cs="Arial"/>
                <w:sz w:val="22"/>
                <w:szCs w:val="22"/>
                <w:lang w:val="es-MX"/>
              </w:rPr>
            </w:pPr>
            <w:r w:rsidRPr="00145F79">
              <w:rPr>
                <w:rFonts w:asciiTheme="majorHAnsi" w:hAnsiTheme="majorHAnsi" w:cs="Arial"/>
                <w:sz w:val="22"/>
                <w:szCs w:val="22"/>
                <w:lang w:val="es-MX"/>
              </w:rPr>
              <w:t xml:space="preserve">Presupuesto </w:t>
            </w:r>
          </w:p>
          <w:p w14:paraId="61730A9E" w14:textId="77777777" w:rsidR="00145F79" w:rsidRPr="00145F79" w:rsidRDefault="00145F79" w:rsidP="00145F79">
            <w:pPr>
              <w:rPr>
                <w:rFonts w:asciiTheme="majorHAnsi" w:hAnsiTheme="majorHAnsi" w:cs="Arial"/>
                <w:sz w:val="22"/>
                <w:szCs w:val="22"/>
                <w:lang w:val="es-MX"/>
              </w:rPr>
            </w:pPr>
          </w:p>
        </w:tc>
      </w:tr>
      <w:tr w:rsidR="00145F79" w:rsidRPr="00145F79" w14:paraId="2FD0D0BB" w14:textId="77777777" w:rsidTr="00145F79">
        <w:trPr>
          <w:jc w:val="center"/>
        </w:trPr>
        <w:tc>
          <w:tcPr>
            <w:tcW w:w="1829" w:type="dxa"/>
            <w:tcBorders>
              <w:top w:val="single" w:sz="4" w:space="0" w:color="000000"/>
              <w:left w:val="single" w:sz="4" w:space="0" w:color="000000"/>
              <w:bottom w:val="single" w:sz="4" w:space="0" w:color="000000"/>
              <w:right w:val="single" w:sz="4" w:space="0" w:color="000000"/>
            </w:tcBorders>
          </w:tcPr>
          <w:p w14:paraId="4D55E118" w14:textId="77777777" w:rsidR="00145F79" w:rsidRPr="00145F79" w:rsidRDefault="00145F79" w:rsidP="00145F79">
            <w:pPr>
              <w:rPr>
                <w:rFonts w:asciiTheme="majorHAnsi" w:hAnsiTheme="majorHAnsi" w:cs="Arial"/>
                <w:sz w:val="22"/>
                <w:szCs w:val="22"/>
                <w:lang w:val="es-MX"/>
              </w:rPr>
            </w:pPr>
            <w:r w:rsidRPr="00145F79">
              <w:rPr>
                <w:rFonts w:asciiTheme="majorHAnsi" w:hAnsiTheme="majorHAnsi" w:cs="Arial"/>
                <w:sz w:val="22"/>
                <w:szCs w:val="22"/>
                <w:lang w:val="es-MX"/>
              </w:rPr>
              <w:t>Pequeña</w:t>
            </w:r>
          </w:p>
          <w:p w14:paraId="72A94702" w14:textId="77777777" w:rsidR="00145F79" w:rsidRPr="00145F79" w:rsidRDefault="00145F79" w:rsidP="00145F79">
            <w:pPr>
              <w:rPr>
                <w:rFonts w:asciiTheme="majorHAnsi" w:hAnsiTheme="majorHAnsi" w:cs="Arial"/>
                <w:sz w:val="22"/>
                <w:szCs w:val="22"/>
                <w:lang w:val="es-MX"/>
              </w:rPr>
            </w:pPr>
          </w:p>
        </w:tc>
        <w:tc>
          <w:tcPr>
            <w:tcW w:w="2824" w:type="dxa"/>
            <w:tcBorders>
              <w:top w:val="single" w:sz="4" w:space="0" w:color="000000"/>
              <w:left w:val="single" w:sz="4" w:space="0" w:color="000000"/>
              <w:bottom w:val="single" w:sz="4" w:space="0" w:color="000000"/>
              <w:right w:val="single" w:sz="4" w:space="0" w:color="000000"/>
            </w:tcBorders>
          </w:tcPr>
          <w:p w14:paraId="63160A24" w14:textId="77777777" w:rsidR="00145F79" w:rsidRPr="00145F79" w:rsidRDefault="00145F79" w:rsidP="00145F79">
            <w:pPr>
              <w:rPr>
                <w:rFonts w:asciiTheme="majorHAnsi" w:hAnsiTheme="majorHAnsi" w:cs="Arial"/>
                <w:sz w:val="22"/>
                <w:szCs w:val="22"/>
                <w:lang w:val="es-MX"/>
              </w:rPr>
            </w:pPr>
            <w:r w:rsidRPr="00145F79">
              <w:rPr>
                <w:rFonts w:asciiTheme="majorHAnsi" w:hAnsiTheme="majorHAnsi" w:cs="Arial"/>
                <w:sz w:val="22"/>
                <w:szCs w:val="22"/>
                <w:lang w:val="es-MX"/>
              </w:rPr>
              <w:t>$0.01 a 9’000,000.00</w:t>
            </w:r>
          </w:p>
          <w:p w14:paraId="5F8FEF01" w14:textId="77777777" w:rsidR="00145F79" w:rsidRPr="00145F79" w:rsidRDefault="00145F79" w:rsidP="00145F79">
            <w:pPr>
              <w:rPr>
                <w:rFonts w:asciiTheme="majorHAnsi" w:hAnsiTheme="majorHAnsi" w:cs="Arial"/>
                <w:sz w:val="22"/>
                <w:szCs w:val="22"/>
                <w:lang w:val="es-MX"/>
              </w:rPr>
            </w:pPr>
          </w:p>
        </w:tc>
      </w:tr>
      <w:tr w:rsidR="00145F79" w:rsidRPr="00145F79" w14:paraId="3D6F989F" w14:textId="77777777" w:rsidTr="00145F79">
        <w:trPr>
          <w:jc w:val="center"/>
        </w:trPr>
        <w:tc>
          <w:tcPr>
            <w:tcW w:w="1829" w:type="dxa"/>
            <w:tcBorders>
              <w:top w:val="single" w:sz="4" w:space="0" w:color="000000"/>
              <w:left w:val="single" w:sz="4" w:space="0" w:color="000000"/>
              <w:bottom w:val="single" w:sz="4" w:space="0" w:color="000000"/>
              <w:right w:val="single" w:sz="4" w:space="0" w:color="000000"/>
            </w:tcBorders>
          </w:tcPr>
          <w:p w14:paraId="78E467D4" w14:textId="77777777" w:rsidR="00145F79" w:rsidRPr="00145F79" w:rsidRDefault="00145F79" w:rsidP="00145F79">
            <w:pPr>
              <w:rPr>
                <w:rFonts w:asciiTheme="majorHAnsi" w:hAnsiTheme="majorHAnsi" w:cs="Arial"/>
                <w:sz w:val="22"/>
                <w:szCs w:val="22"/>
                <w:lang w:val="es-MX"/>
              </w:rPr>
            </w:pPr>
            <w:r w:rsidRPr="00145F79">
              <w:rPr>
                <w:rFonts w:asciiTheme="majorHAnsi" w:hAnsiTheme="majorHAnsi" w:cs="Arial"/>
                <w:sz w:val="22"/>
                <w:szCs w:val="22"/>
                <w:lang w:val="es-MX"/>
              </w:rPr>
              <w:t>Mediana</w:t>
            </w:r>
          </w:p>
          <w:p w14:paraId="6D701E4F" w14:textId="77777777" w:rsidR="00145F79" w:rsidRPr="00145F79" w:rsidRDefault="00145F79" w:rsidP="00145F79">
            <w:pPr>
              <w:rPr>
                <w:rFonts w:asciiTheme="majorHAnsi" w:hAnsiTheme="majorHAnsi" w:cs="Arial"/>
                <w:sz w:val="22"/>
                <w:szCs w:val="22"/>
                <w:lang w:val="es-MX"/>
              </w:rPr>
            </w:pPr>
          </w:p>
        </w:tc>
        <w:tc>
          <w:tcPr>
            <w:tcW w:w="2824" w:type="dxa"/>
            <w:tcBorders>
              <w:top w:val="single" w:sz="4" w:space="0" w:color="000000"/>
              <w:left w:val="single" w:sz="4" w:space="0" w:color="000000"/>
              <w:bottom w:val="single" w:sz="4" w:space="0" w:color="000000"/>
              <w:right w:val="single" w:sz="4" w:space="0" w:color="000000"/>
            </w:tcBorders>
          </w:tcPr>
          <w:p w14:paraId="0147A4EE" w14:textId="77777777" w:rsidR="00145F79" w:rsidRPr="00145F79" w:rsidRDefault="00145F79" w:rsidP="00145F79">
            <w:pPr>
              <w:rPr>
                <w:rFonts w:asciiTheme="majorHAnsi" w:hAnsiTheme="majorHAnsi" w:cs="Arial"/>
                <w:sz w:val="22"/>
                <w:szCs w:val="22"/>
                <w:lang w:val="es-MX"/>
              </w:rPr>
            </w:pPr>
            <w:r w:rsidRPr="00145F79">
              <w:rPr>
                <w:rFonts w:asciiTheme="majorHAnsi" w:hAnsiTheme="majorHAnsi" w:cs="Arial"/>
                <w:sz w:val="22"/>
                <w:szCs w:val="22"/>
                <w:lang w:val="es-MX"/>
              </w:rPr>
              <w:t xml:space="preserve">$9’000,000.01 a </w:t>
            </w:r>
          </w:p>
          <w:p w14:paraId="348EE50D" w14:textId="77777777" w:rsidR="00145F79" w:rsidRPr="00145F79" w:rsidRDefault="00145F79" w:rsidP="00145F79">
            <w:pPr>
              <w:rPr>
                <w:rFonts w:asciiTheme="majorHAnsi" w:hAnsiTheme="majorHAnsi" w:cs="Arial"/>
                <w:sz w:val="22"/>
                <w:szCs w:val="22"/>
                <w:lang w:val="es-MX"/>
              </w:rPr>
            </w:pPr>
            <w:r w:rsidRPr="00145F79">
              <w:rPr>
                <w:rFonts w:asciiTheme="majorHAnsi" w:hAnsiTheme="majorHAnsi" w:cs="Arial"/>
                <w:sz w:val="22"/>
                <w:szCs w:val="22"/>
                <w:lang w:val="es-MX"/>
              </w:rPr>
              <w:t>100’000,000.00</w:t>
            </w:r>
          </w:p>
          <w:p w14:paraId="68F5EC1A" w14:textId="77777777" w:rsidR="00145F79" w:rsidRPr="00145F79" w:rsidRDefault="00145F79" w:rsidP="00145F79">
            <w:pPr>
              <w:rPr>
                <w:rFonts w:asciiTheme="majorHAnsi" w:hAnsiTheme="majorHAnsi" w:cs="Arial"/>
                <w:sz w:val="22"/>
                <w:szCs w:val="22"/>
                <w:lang w:val="es-MX"/>
              </w:rPr>
            </w:pPr>
          </w:p>
        </w:tc>
      </w:tr>
      <w:tr w:rsidR="00145F79" w:rsidRPr="00145F79" w14:paraId="6D34B94D" w14:textId="77777777" w:rsidTr="00145F79">
        <w:trPr>
          <w:jc w:val="center"/>
        </w:trPr>
        <w:tc>
          <w:tcPr>
            <w:tcW w:w="1829" w:type="dxa"/>
            <w:tcBorders>
              <w:top w:val="single" w:sz="4" w:space="0" w:color="000000"/>
              <w:left w:val="single" w:sz="4" w:space="0" w:color="000000"/>
              <w:bottom w:val="single" w:sz="4" w:space="0" w:color="000000"/>
              <w:right w:val="single" w:sz="4" w:space="0" w:color="000000"/>
            </w:tcBorders>
          </w:tcPr>
          <w:p w14:paraId="7D3ECE98" w14:textId="77777777" w:rsidR="00145F79" w:rsidRPr="00145F79" w:rsidRDefault="00145F79" w:rsidP="00145F79">
            <w:pPr>
              <w:rPr>
                <w:rFonts w:asciiTheme="majorHAnsi" w:hAnsiTheme="majorHAnsi" w:cs="Arial"/>
                <w:sz w:val="22"/>
                <w:szCs w:val="22"/>
                <w:lang w:val="es-MX"/>
              </w:rPr>
            </w:pPr>
            <w:r w:rsidRPr="00145F79">
              <w:rPr>
                <w:rFonts w:asciiTheme="majorHAnsi" w:hAnsiTheme="majorHAnsi" w:cs="Arial"/>
                <w:sz w:val="22"/>
                <w:szCs w:val="22"/>
                <w:lang w:val="es-MX"/>
              </w:rPr>
              <w:t>Grande</w:t>
            </w:r>
          </w:p>
          <w:p w14:paraId="6D889E51" w14:textId="77777777" w:rsidR="00145F79" w:rsidRPr="00145F79" w:rsidRDefault="00145F79" w:rsidP="00145F79">
            <w:pPr>
              <w:rPr>
                <w:rFonts w:asciiTheme="majorHAnsi" w:hAnsiTheme="majorHAnsi" w:cs="Arial"/>
                <w:sz w:val="22"/>
                <w:szCs w:val="22"/>
                <w:lang w:val="es-MX"/>
              </w:rPr>
            </w:pPr>
          </w:p>
        </w:tc>
        <w:tc>
          <w:tcPr>
            <w:tcW w:w="2824" w:type="dxa"/>
            <w:tcBorders>
              <w:top w:val="single" w:sz="4" w:space="0" w:color="000000"/>
              <w:left w:val="single" w:sz="4" w:space="0" w:color="000000"/>
              <w:bottom w:val="single" w:sz="4" w:space="0" w:color="000000"/>
              <w:right w:val="single" w:sz="4" w:space="0" w:color="000000"/>
            </w:tcBorders>
            <w:hideMark/>
          </w:tcPr>
          <w:p w14:paraId="2D2E886E" w14:textId="77777777" w:rsidR="00145F79" w:rsidRPr="00145F79" w:rsidRDefault="00145F79" w:rsidP="00145F79">
            <w:pPr>
              <w:rPr>
                <w:rFonts w:asciiTheme="majorHAnsi" w:hAnsiTheme="majorHAnsi" w:cs="Arial"/>
                <w:sz w:val="22"/>
                <w:szCs w:val="22"/>
                <w:lang w:val="es-MX"/>
              </w:rPr>
            </w:pPr>
            <w:r w:rsidRPr="00145F79">
              <w:rPr>
                <w:rFonts w:asciiTheme="majorHAnsi" w:hAnsiTheme="majorHAnsi" w:cs="Arial"/>
                <w:sz w:val="22"/>
                <w:szCs w:val="22"/>
                <w:lang w:val="es-MX"/>
              </w:rPr>
              <w:t>$100’000,000.01 en adelante</w:t>
            </w:r>
          </w:p>
        </w:tc>
      </w:tr>
    </w:tbl>
    <w:p w14:paraId="1AB5BAE8" w14:textId="77777777" w:rsidR="00145F79" w:rsidRPr="00145F79" w:rsidRDefault="00145F79" w:rsidP="00145F79">
      <w:pPr>
        <w:rPr>
          <w:rFonts w:asciiTheme="majorHAnsi" w:hAnsiTheme="majorHAnsi" w:cs="Arial"/>
          <w:sz w:val="22"/>
          <w:szCs w:val="22"/>
          <w:lang w:val="es-MX"/>
        </w:rPr>
      </w:pPr>
    </w:p>
    <w:p w14:paraId="48D01A8A" w14:textId="77777777" w:rsidR="00145F79" w:rsidRPr="00145F79" w:rsidRDefault="00145F79" w:rsidP="00F064A0">
      <w:pPr>
        <w:jc w:val="both"/>
        <w:rPr>
          <w:rFonts w:asciiTheme="majorHAnsi" w:hAnsiTheme="majorHAnsi" w:cs="Arial"/>
          <w:sz w:val="22"/>
          <w:szCs w:val="22"/>
          <w:lang w:val="es-MX"/>
        </w:rPr>
      </w:pPr>
      <w:r w:rsidRPr="00145F79">
        <w:rPr>
          <w:rFonts w:asciiTheme="majorHAnsi" w:hAnsiTheme="majorHAnsi" w:cs="Arial"/>
          <w:sz w:val="22"/>
          <w:szCs w:val="22"/>
          <w:lang w:val="es-MX"/>
        </w:rPr>
        <w:t xml:space="preserve">Una vez categorizada a la Entidad se multiplicarán los montos para cada uno de los procedimientos que el Congreso del Estado autorice para el Poder Ejecutivo en el Presupuesto de Egresos del Ejercicio Fiscal correspondiente, por los factores que se muestran en la siguiente tabla: </w:t>
      </w:r>
    </w:p>
    <w:p w14:paraId="72970C2D" w14:textId="77777777" w:rsidR="00145F79" w:rsidRPr="00145F79" w:rsidRDefault="00145F79" w:rsidP="00145F79">
      <w:pPr>
        <w:rPr>
          <w:rFonts w:asciiTheme="majorHAnsi" w:hAnsiTheme="majorHAnsi" w:cs="Arial"/>
          <w:sz w:val="22"/>
          <w:szCs w:val="22"/>
          <w:lang w:val="es-MX"/>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36"/>
        <w:gridCol w:w="1125"/>
        <w:gridCol w:w="1417"/>
        <w:gridCol w:w="1375"/>
      </w:tblGrid>
      <w:tr w:rsidR="00145F79" w:rsidRPr="00145F79" w14:paraId="0BBBF30D" w14:textId="77777777" w:rsidTr="00145F79">
        <w:trPr>
          <w:jc w:val="center"/>
        </w:trPr>
        <w:tc>
          <w:tcPr>
            <w:tcW w:w="2136" w:type="dxa"/>
            <w:tcBorders>
              <w:top w:val="single" w:sz="4" w:space="0" w:color="000000"/>
              <w:left w:val="single" w:sz="4" w:space="0" w:color="000000"/>
              <w:bottom w:val="single" w:sz="4" w:space="0" w:color="000000"/>
              <w:right w:val="single" w:sz="4" w:space="0" w:color="000000"/>
            </w:tcBorders>
            <w:vAlign w:val="center"/>
            <w:hideMark/>
          </w:tcPr>
          <w:p w14:paraId="27BB17B4" w14:textId="77777777" w:rsidR="00145F79" w:rsidRPr="00145F79" w:rsidRDefault="00145F79" w:rsidP="00145F79">
            <w:pPr>
              <w:rPr>
                <w:rFonts w:asciiTheme="majorHAnsi" w:hAnsiTheme="majorHAnsi" w:cs="Arial"/>
                <w:sz w:val="22"/>
                <w:szCs w:val="22"/>
                <w:lang w:val="es-MX"/>
              </w:rPr>
            </w:pPr>
            <w:r w:rsidRPr="00145F79">
              <w:rPr>
                <w:rFonts w:asciiTheme="majorHAnsi" w:hAnsiTheme="majorHAnsi" w:cs="Arial"/>
                <w:sz w:val="22"/>
                <w:szCs w:val="22"/>
                <w:lang w:val="es-MX"/>
              </w:rPr>
              <w:t>Proceso</w:t>
            </w:r>
          </w:p>
        </w:tc>
        <w:tc>
          <w:tcPr>
            <w:tcW w:w="1125" w:type="dxa"/>
            <w:tcBorders>
              <w:top w:val="single" w:sz="4" w:space="0" w:color="000000"/>
              <w:left w:val="single" w:sz="4" w:space="0" w:color="000000"/>
              <w:bottom w:val="single" w:sz="4" w:space="0" w:color="000000"/>
              <w:right w:val="single" w:sz="4" w:space="0" w:color="000000"/>
            </w:tcBorders>
            <w:vAlign w:val="center"/>
            <w:hideMark/>
          </w:tcPr>
          <w:p w14:paraId="4F8929E2" w14:textId="77777777" w:rsidR="00145F79" w:rsidRPr="00145F79" w:rsidRDefault="00145F79" w:rsidP="00145F79">
            <w:pPr>
              <w:rPr>
                <w:rFonts w:asciiTheme="majorHAnsi" w:hAnsiTheme="majorHAnsi" w:cs="Arial"/>
                <w:sz w:val="22"/>
                <w:szCs w:val="22"/>
                <w:lang w:val="es-MX"/>
              </w:rPr>
            </w:pPr>
            <w:r w:rsidRPr="00145F79">
              <w:rPr>
                <w:rFonts w:asciiTheme="majorHAnsi" w:hAnsiTheme="majorHAnsi" w:cs="Arial"/>
                <w:sz w:val="22"/>
                <w:szCs w:val="22"/>
                <w:lang w:val="es-MX"/>
              </w:rPr>
              <w:t>Entidad</w:t>
            </w:r>
          </w:p>
          <w:p w14:paraId="5C18A69B" w14:textId="77777777" w:rsidR="00145F79" w:rsidRPr="00145F79" w:rsidRDefault="00145F79" w:rsidP="00145F79">
            <w:pPr>
              <w:rPr>
                <w:rFonts w:asciiTheme="majorHAnsi" w:hAnsiTheme="majorHAnsi" w:cs="Arial"/>
                <w:sz w:val="22"/>
                <w:szCs w:val="22"/>
                <w:lang w:val="es-MX"/>
              </w:rPr>
            </w:pPr>
            <w:r w:rsidRPr="00145F79">
              <w:rPr>
                <w:rFonts w:asciiTheme="majorHAnsi" w:hAnsiTheme="majorHAnsi" w:cs="Arial"/>
                <w:sz w:val="22"/>
                <w:szCs w:val="22"/>
                <w:lang w:val="es-MX"/>
              </w:rPr>
              <w:t>Pequeña</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38BC6A8A" w14:textId="77777777" w:rsidR="00145F79" w:rsidRPr="00145F79" w:rsidRDefault="00145F79" w:rsidP="00145F79">
            <w:pPr>
              <w:rPr>
                <w:rFonts w:asciiTheme="majorHAnsi" w:hAnsiTheme="majorHAnsi" w:cs="Arial"/>
                <w:sz w:val="22"/>
                <w:szCs w:val="22"/>
                <w:lang w:val="es-MX"/>
              </w:rPr>
            </w:pPr>
            <w:r w:rsidRPr="00145F79">
              <w:rPr>
                <w:rFonts w:asciiTheme="majorHAnsi" w:hAnsiTheme="majorHAnsi" w:cs="Arial"/>
                <w:sz w:val="22"/>
                <w:szCs w:val="22"/>
                <w:lang w:val="es-MX"/>
              </w:rPr>
              <w:t>Entidad</w:t>
            </w:r>
          </w:p>
          <w:p w14:paraId="2F500EFE" w14:textId="77777777" w:rsidR="00145F79" w:rsidRPr="00145F79" w:rsidRDefault="00145F79" w:rsidP="00145F79">
            <w:pPr>
              <w:rPr>
                <w:rFonts w:asciiTheme="majorHAnsi" w:hAnsiTheme="majorHAnsi" w:cs="Arial"/>
                <w:sz w:val="22"/>
                <w:szCs w:val="22"/>
                <w:lang w:val="es-MX"/>
              </w:rPr>
            </w:pPr>
            <w:r w:rsidRPr="00145F79">
              <w:rPr>
                <w:rFonts w:asciiTheme="majorHAnsi" w:hAnsiTheme="majorHAnsi" w:cs="Arial"/>
                <w:sz w:val="22"/>
                <w:szCs w:val="22"/>
                <w:lang w:val="es-MX"/>
              </w:rPr>
              <w:t>Mediana</w:t>
            </w:r>
          </w:p>
        </w:tc>
        <w:tc>
          <w:tcPr>
            <w:tcW w:w="1375" w:type="dxa"/>
            <w:tcBorders>
              <w:top w:val="single" w:sz="4" w:space="0" w:color="000000"/>
              <w:left w:val="single" w:sz="4" w:space="0" w:color="000000"/>
              <w:bottom w:val="single" w:sz="4" w:space="0" w:color="000000"/>
              <w:right w:val="single" w:sz="4" w:space="0" w:color="000000"/>
            </w:tcBorders>
            <w:vAlign w:val="center"/>
            <w:hideMark/>
          </w:tcPr>
          <w:p w14:paraId="2D5BFE77" w14:textId="77777777" w:rsidR="00145F79" w:rsidRPr="00145F79" w:rsidRDefault="00145F79" w:rsidP="00145F79">
            <w:pPr>
              <w:rPr>
                <w:rFonts w:asciiTheme="majorHAnsi" w:hAnsiTheme="majorHAnsi" w:cs="Arial"/>
                <w:sz w:val="22"/>
                <w:szCs w:val="22"/>
                <w:lang w:val="es-MX"/>
              </w:rPr>
            </w:pPr>
            <w:r w:rsidRPr="00145F79">
              <w:rPr>
                <w:rFonts w:asciiTheme="majorHAnsi" w:hAnsiTheme="majorHAnsi" w:cs="Arial"/>
                <w:sz w:val="22"/>
                <w:szCs w:val="22"/>
                <w:lang w:val="es-MX"/>
              </w:rPr>
              <w:t>Entidad</w:t>
            </w:r>
          </w:p>
          <w:p w14:paraId="3D3DED0D" w14:textId="77777777" w:rsidR="00145F79" w:rsidRPr="00145F79" w:rsidRDefault="00145F79" w:rsidP="00145F79">
            <w:pPr>
              <w:rPr>
                <w:rFonts w:asciiTheme="majorHAnsi" w:hAnsiTheme="majorHAnsi" w:cs="Arial"/>
                <w:sz w:val="22"/>
                <w:szCs w:val="22"/>
                <w:lang w:val="es-MX"/>
              </w:rPr>
            </w:pPr>
            <w:r w:rsidRPr="00145F79">
              <w:rPr>
                <w:rFonts w:asciiTheme="majorHAnsi" w:hAnsiTheme="majorHAnsi" w:cs="Arial"/>
                <w:sz w:val="22"/>
                <w:szCs w:val="22"/>
                <w:lang w:val="es-MX"/>
              </w:rPr>
              <w:t>Grande</w:t>
            </w:r>
          </w:p>
        </w:tc>
      </w:tr>
      <w:tr w:rsidR="00145F79" w:rsidRPr="00145F79" w14:paraId="36AC467A" w14:textId="77777777" w:rsidTr="00145F79">
        <w:trPr>
          <w:jc w:val="center"/>
        </w:trPr>
        <w:tc>
          <w:tcPr>
            <w:tcW w:w="2136" w:type="dxa"/>
            <w:tcBorders>
              <w:top w:val="single" w:sz="4" w:space="0" w:color="000000"/>
              <w:left w:val="single" w:sz="4" w:space="0" w:color="000000"/>
              <w:bottom w:val="single" w:sz="4" w:space="0" w:color="000000"/>
              <w:right w:val="single" w:sz="4" w:space="0" w:color="000000"/>
            </w:tcBorders>
            <w:vAlign w:val="center"/>
            <w:hideMark/>
          </w:tcPr>
          <w:p w14:paraId="4467FFB5" w14:textId="77777777" w:rsidR="00145F79" w:rsidRPr="00145F79" w:rsidRDefault="00145F79" w:rsidP="00145F79">
            <w:pPr>
              <w:rPr>
                <w:rFonts w:asciiTheme="majorHAnsi" w:hAnsiTheme="majorHAnsi" w:cs="Arial"/>
                <w:sz w:val="22"/>
                <w:szCs w:val="22"/>
                <w:lang w:val="es-MX"/>
              </w:rPr>
            </w:pPr>
            <w:r w:rsidRPr="00145F79">
              <w:rPr>
                <w:rFonts w:asciiTheme="majorHAnsi" w:hAnsiTheme="majorHAnsi" w:cs="Arial"/>
                <w:sz w:val="22"/>
                <w:szCs w:val="22"/>
                <w:lang w:val="es-MX"/>
              </w:rPr>
              <w:t>Adjudicación Directa</w:t>
            </w:r>
          </w:p>
        </w:tc>
        <w:tc>
          <w:tcPr>
            <w:tcW w:w="1125" w:type="dxa"/>
            <w:tcBorders>
              <w:top w:val="single" w:sz="4" w:space="0" w:color="000000"/>
              <w:left w:val="single" w:sz="4" w:space="0" w:color="000000"/>
              <w:bottom w:val="single" w:sz="4" w:space="0" w:color="000000"/>
              <w:right w:val="single" w:sz="4" w:space="0" w:color="000000"/>
            </w:tcBorders>
            <w:vAlign w:val="center"/>
            <w:hideMark/>
          </w:tcPr>
          <w:p w14:paraId="64C98F41" w14:textId="77777777" w:rsidR="00145F79" w:rsidRPr="00145F79" w:rsidRDefault="00145F79" w:rsidP="00145F79">
            <w:pPr>
              <w:rPr>
                <w:rFonts w:asciiTheme="majorHAnsi" w:hAnsiTheme="majorHAnsi" w:cs="Arial"/>
                <w:sz w:val="22"/>
                <w:szCs w:val="22"/>
                <w:lang w:val="es-MX"/>
              </w:rPr>
            </w:pPr>
            <w:r w:rsidRPr="00145F79">
              <w:rPr>
                <w:rFonts w:asciiTheme="majorHAnsi" w:hAnsiTheme="majorHAnsi" w:cs="Arial"/>
                <w:sz w:val="22"/>
                <w:szCs w:val="22"/>
                <w:lang w:val="es-MX"/>
              </w:rPr>
              <w:t>1</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23899BEA" w14:textId="77777777" w:rsidR="00145F79" w:rsidRPr="00145F79" w:rsidRDefault="00145F79" w:rsidP="00145F79">
            <w:pPr>
              <w:rPr>
                <w:rFonts w:asciiTheme="majorHAnsi" w:hAnsiTheme="majorHAnsi" w:cs="Arial"/>
                <w:sz w:val="22"/>
                <w:szCs w:val="22"/>
                <w:lang w:val="es-MX"/>
              </w:rPr>
            </w:pPr>
            <w:r w:rsidRPr="00145F79">
              <w:rPr>
                <w:rFonts w:asciiTheme="majorHAnsi" w:hAnsiTheme="majorHAnsi" w:cs="Arial"/>
                <w:sz w:val="22"/>
                <w:szCs w:val="22"/>
                <w:lang w:val="es-MX"/>
              </w:rPr>
              <w:t>1</w:t>
            </w:r>
          </w:p>
        </w:tc>
        <w:tc>
          <w:tcPr>
            <w:tcW w:w="1375" w:type="dxa"/>
            <w:tcBorders>
              <w:top w:val="single" w:sz="4" w:space="0" w:color="000000"/>
              <w:left w:val="single" w:sz="4" w:space="0" w:color="000000"/>
              <w:bottom w:val="single" w:sz="4" w:space="0" w:color="000000"/>
              <w:right w:val="single" w:sz="4" w:space="0" w:color="000000"/>
            </w:tcBorders>
            <w:vAlign w:val="center"/>
            <w:hideMark/>
          </w:tcPr>
          <w:p w14:paraId="712F17AD" w14:textId="77777777" w:rsidR="00145F79" w:rsidRPr="00145F79" w:rsidRDefault="00145F79" w:rsidP="00145F79">
            <w:pPr>
              <w:rPr>
                <w:rFonts w:asciiTheme="majorHAnsi" w:hAnsiTheme="majorHAnsi" w:cs="Arial"/>
                <w:sz w:val="22"/>
                <w:szCs w:val="22"/>
                <w:lang w:val="es-MX"/>
              </w:rPr>
            </w:pPr>
            <w:r w:rsidRPr="00145F79">
              <w:rPr>
                <w:rFonts w:asciiTheme="majorHAnsi" w:hAnsiTheme="majorHAnsi" w:cs="Arial"/>
                <w:sz w:val="22"/>
                <w:szCs w:val="22"/>
                <w:lang w:val="es-MX"/>
              </w:rPr>
              <w:t>1</w:t>
            </w:r>
          </w:p>
        </w:tc>
      </w:tr>
      <w:tr w:rsidR="00145F79" w:rsidRPr="00145F79" w14:paraId="6CFABA99" w14:textId="77777777" w:rsidTr="00145F79">
        <w:trPr>
          <w:jc w:val="center"/>
        </w:trPr>
        <w:tc>
          <w:tcPr>
            <w:tcW w:w="2136" w:type="dxa"/>
            <w:tcBorders>
              <w:top w:val="single" w:sz="4" w:space="0" w:color="000000"/>
              <w:left w:val="single" w:sz="4" w:space="0" w:color="000000"/>
              <w:bottom w:val="single" w:sz="4" w:space="0" w:color="000000"/>
              <w:right w:val="single" w:sz="4" w:space="0" w:color="000000"/>
            </w:tcBorders>
            <w:vAlign w:val="center"/>
            <w:hideMark/>
          </w:tcPr>
          <w:p w14:paraId="0A188F44" w14:textId="77777777" w:rsidR="00145F79" w:rsidRPr="00145F79" w:rsidRDefault="00145F79" w:rsidP="00145F79">
            <w:pPr>
              <w:rPr>
                <w:rFonts w:asciiTheme="majorHAnsi" w:hAnsiTheme="majorHAnsi" w:cs="Arial"/>
                <w:sz w:val="22"/>
                <w:szCs w:val="22"/>
                <w:lang w:val="es-MX"/>
              </w:rPr>
            </w:pPr>
            <w:r w:rsidRPr="00145F79">
              <w:rPr>
                <w:rFonts w:asciiTheme="majorHAnsi" w:hAnsiTheme="majorHAnsi" w:cs="Arial"/>
                <w:sz w:val="22"/>
                <w:szCs w:val="22"/>
                <w:lang w:val="es-MX"/>
              </w:rPr>
              <w:t>Licitación sin</w:t>
            </w:r>
          </w:p>
          <w:p w14:paraId="6B3CC81E" w14:textId="77777777" w:rsidR="00145F79" w:rsidRPr="00145F79" w:rsidRDefault="00145F79" w:rsidP="00145F79">
            <w:pPr>
              <w:rPr>
                <w:rFonts w:asciiTheme="majorHAnsi" w:hAnsiTheme="majorHAnsi" w:cs="Arial"/>
                <w:sz w:val="22"/>
                <w:szCs w:val="22"/>
                <w:lang w:val="es-MX"/>
              </w:rPr>
            </w:pPr>
            <w:r w:rsidRPr="00145F79">
              <w:rPr>
                <w:rFonts w:asciiTheme="majorHAnsi" w:hAnsiTheme="majorHAnsi" w:cs="Arial"/>
                <w:sz w:val="22"/>
                <w:szCs w:val="22"/>
                <w:lang w:val="es-MX"/>
              </w:rPr>
              <w:t>concurrencia del</w:t>
            </w:r>
          </w:p>
          <w:p w14:paraId="15D60B61" w14:textId="77777777" w:rsidR="00145F79" w:rsidRPr="00145F79" w:rsidRDefault="00145F79" w:rsidP="00145F79">
            <w:pPr>
              <w:rPr>
                <w:rFonts w:asciiTheme="majorHAnsi" w:hAnsiTheme="majorHAnsi" w:cs="Arial"/>
                <w:sz w:val="22"/>
                <w:szCs w:val="22"/>
                <w:lang w:val="es-MX"/>
              </w:rPr>
            </w:pPr>
            <w:r w:rsidRPr="00145F79">
              <w:rPr>
                <w:rFonts w:asciiTheme="majorHAnsi" w:hAnsiTheme="majorHAnsi" w:cs="Arial"/>
                <w:sz w:val="22"/>
                <w:szCs w:val="22"/>
                <w:lang w:val="es-MX"/>
              </w:rPr>
              <w:t>Comité</w:t>
            </w:r>
          </w:p>
        </w:tc>
        <w:tc>
          <w:tcPr>
            <w:tcW w:w="1125" w:type="dxa"/>
            <w:tcBorders>
              <w:top w:val="single" w:sz="4" w:space="0" w:color="000000"/>
              <w:left w:val="single" w:sz="4" w:space="0" w:color="000000"/>
              <w:bottom w:val="single" w:sz="4" w:space="0" w:color="000000"/>
              <w:right w:val="single" w:sz="4" w:space="0" w:color="000000"/>
            </w:tcBorders>
            <w:vAlign w:val="center"/>
            <w:hideMark/>
          </w:tcPr>
          <w:p w14:paraId="4F7F520B" w14:textId="77777777" w:rsidR="00145F79" w:rsidRPr="00145F79" w:rsidRDefault="00145F79" w:rsidP="00145F79">
            <w:pPr>
              <w:rPr>
                <w:rFonts w:asciiTheme="majorHAnsi" w:hAnsiTheme="majorHAnsi" w:cs="Arial"/>
                <w:sz w:val="22"/>
                <w:szCs w:val="22"/>
                <w:lang w:val="es-MX"/>
              </w:rPr>
            </w:pPr>
            <w:r w:rsidRPr="00145F79">
              <w:rPr>
                <w:rFonts w:asciiTheme="majorHAnsi" w:hAnsiTheme="majorHAnsi" w:cs="Arial"/>
                <w:sz w:val="22"/>
                <w:szCs w:val="22"/>
                <w:lang w:val="es-MX"/>
              </w:rPr>
              <w:t>1/50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627B469D" w14:textId="77777777" w:rsidR="00145F79" w:rsidRPr="00145F79" w:rsidRDefault="00145F79" w:rsidP="00145F79">
            <w:pPr>
              <w:rPr>
                <w:rFonts w:asciiTheme="majorHAnsi" w:hAnsiTheme="majorHAnsi" w:cs="Arial"/>
                <w:sz w:val="22"/>
                <w:szCs w:val="22"/>
                <w:lang w:val="es-MX"/>
              </w:rPr>
            </w:pPr>
            <w:r w:rsidRPr="00145F79">
              <w:rPr>
                <w:rFonts w:asciiTheme="majorHAnsi" w:hAnsiTheme="majorHAnsi" w:cs="Arial"/>
                <w:sz w:val="22"/>
                <w:szCs w:val="22"/>
                <w:lang w:val="es-MX"/>
              </w:rPr>
              <w:t>1/25</w:t>
            </w:r>
          </w:p>
        </w:tc>
        <w:tc>
          <w:tcPr>
            <w:tcW w:w="1375" w:type="dxa"/>
            <w:tcBorders>
              <w:top w:val="single" w:sz="4" w:space="0" w:color="000000"/>
              <w:left w:val="single" w:sz="4" w:space="0" w:color="000000"/>
              <w:bottom w:val="single" w:sz="4" w:space="0" w:color="000000"/>
              <w:right w:val="single" w:sz="4" w:space="0" w:color="000000"/>
            </w:tcBorders>
            <w:vAlign w:val="center"/>
            <w:hideMark/>
          </w:tcPr>
          <w:p w14:paraId="2E50CDFA" w14:textId="77777777" w:rsidR="00145F79" w:rsidRPr="00145F79" w:rsidRDefault="00145F79" w:rsidP="00145F79">
            <w:pPr>
              <w:rPr>
                <w:rFonts w:asciiTheme="majorHAnsi" w:hAnsiTheme="majorHAnsi" w:cs="Arial"/>
                <w:sz w:val="22"/>
                <w:szCs w:val="22"/>
                <w:lang w:val="es-MX"/>
              </w:rPr>
            </w:pPr>
            <w:r w:rsidRPr="00145F79">
              <w:rPr>
                <w:rFonts w:asciiTheme="majorHAnsi" w:hAnsiTheme="majorHAnsi" w:cs="Arial"/>
                <w:sz w:val="22"/>
                <w:szCs w:val="22"/>
                <w:lang w:val="es-MX"/>
              </w:rPr>
              <w:t>7/50</w:t>
            </w:r>
          </w:p>
        </w:tc>
      </w:tr>
      <w:tr w:rsidR="00145F79" w:rsidRPr="00145F79" w14:paraId="021BD2B5" w14:textId="77777777" w:rsidTr="00145F79">
        <w:trPr>
          <w:jc w:val="center"/>
        </w:trPr>
        <w:tc>
          <w:tcPr>
            <w:tcW w:w="2136" w:type="dxa"/>
            <w:tcBorders>
              <w:top w:val="single" w:sz="4" w:space="0" w:color="000000"/>
              <w:left w:val="single" w:sz="4" w:space="0" w:color="000000"/>
              <w:bottom w:val="single" w:sz="4" w:space="0" w:color="000000"/>
              <w:right w:val="single" w:sz="4" w:space="0" w:color="000000"/>
            </w:tcBorders>
            <w:vAlign w:val="center"/>
            <w:hideMark/>
          </w:tcPr>
          <w:p w14:paraId="69D5640F" w14:textId="77777777" w:rsidR="00145F79" w:rsidRPr="00145F79" w:rsidRDefault="00145F79" w:rsidP="00145F79">
            <w:pPr>
              <w:rPr>
                <w:rFonts w:asciiTheme="majorHAnsi" w:hAnsiTheme="majorHAnsi" w:cs="Arial"/>
                <w:sz w:val="22"/>
                <w:szCs w:val="22"/>
                <w:lang w:val="es-MX"/>
              </w:rPr>
            </w:pPr>
            <w:r w:rsidRPr="00145F79">
              <w:rPr>
                <w:rFonts w:asciiTheme="majorHAnsi" w:hAnsiTheme="majorHAnsi" w:cs="Arial"/>
                <w:sz w:val="22"/>
                <w:szCs w:val="22"/>
                <w:lang w:val="es-MX"/>
              </w:rPr>
              <w:t>Licitación con</w:t>
            </w:r>
          </w:p>
          <w:p w14:paraId="3A6C839E" w14:textId="77777777" w:rsidR="00145F79" w:rsidRPr="00145F79" w:rsidRDefault="00145F79" w:rsidP="00145F79">
            <w:pPr>
              <w:rPr>
                <w:rFonts w:asciiTheme="majorHAnsi" w:hAnsiTheme="majorHAnsi" w:cs="Arial"/>
                <w:sz w:val="22"/>
                <w:szCs w:val="22"/>
                <w:lang w:val="es-MX"/>
              </w:rPr>
            </w:pPr>
            <w:r w:rsidRPr="00145F79">
              <w:rPr>
                <w:rFonts w:asciiTheme="majorHAnsi" w:hAnsiTheme="majorHAnsi" w:cs="Arial"/>
                <w:sz w:val="22"/>
                <w:szCs w:val="22"/>
                <w:lang w:val="es-MX"/>
              </w:rPr>
              <w:t>concurrencia del</w:t>
            </w:r>
          </w:p>
          <w:p w14:paraId="70021B03" w14:textId="77777777" w:rsidR="00145F79" w:rsidRPr="00145F79" w:rsidRDefault="00145F79" w:rsidP="00145F79">
            <w:pPr>
              <w:rPr>
                <w:rFonts w:asciiTheme="majorHAnsi" w:hAnsiTheme="majorHAnsi" w:cs="Arial"/>
                <w:sz w:val="22"/>
                <w:szCs w:val="22"/>
                <w:lang w:val="es-MX"/>
              </w:rPr>
            </w:pPr>
            <w:r w:rsidRPr="00145F79">
              <w:rPr>
                <w:rFonts w:asciiTheme="majorHAnsi" w:hAnsiTheme="majorHAnsi" w:cs="Arial"/>
                <w:sz w:val="22"/>
                <w:szCs w:val="22"/>
                <w:lang w:val="es-MX"/>
              </w:rPr>
              <w:t>Comité</w:t>
            </w:r>
          </w:p>
        </w:tc>
        <w:tc>
          <w:tcPr>
            <w:tcW w:w="1125" w:type="dxa"/>
            <w:tcBorders>
              <w:top w:val="single" w:sz="4" w:space="0" w:color="000000"/>
              <w:left w:val="single" w:sz="4" w:space="0" w:color="000000"/>
              <w:bottom w:val="single" w:sz="4" w:space="0" w:color="000000"/>
              <w:right w:val="single" w:sz="4" w:space="0" w:color="000000"/>
            </w:tcBorders>
            <w:vAlign w:val="center"/>
            <w:hideMark/>
          </w:tcPr>
          <w:p w14:paraId="1BD34165" w14:textId="77777777" w:rsidR="00145F79" w:rsidRPr="00145F79" w:rsidRDefault="00145F79" w:rsidP="00145F79">
            <w:pPr>
              <w:rPr>
                <w:rFonts w:asciiTheme="majorHAnsi" w:hAnsiTheme="majorHAnsi" w:cs="Arial"/>
                <w:sz w:val="22"/>
                <w:szCs w:val="22"/>
                <w:lang w:val="es-MX"/>
              </w:rPr>
            </w:pPr>
            <w:r w:rsidRPr="00145F79">
              <w:rPr>
                <w:rFonts w:asciiTheme="majorHAnsi" w:hAnsiTheme="majorHAnsi" w:cs="Arial"/>
                <w:sz w:val="22"/>
                <w:szCs w:val="22"/>
                <w:lang w:val="es-MX"/>
              </w:rPr>
              <w:t>En</w:t>
            </w:r>
          </w:p>
          <w:p w14:paraId="12808A8C" w14:textId="77777777" w:rsidR="00145F79" w:rsidRPr="00145F79" w:rsidRDefault="00145F79" w:rsidP="00145F79">
            <w:pPr>
              <w:rPr>
                <w:rFonts w:asciiTheme="majorHAnsi" w:hAnsiTheme="majorHAnsi" w:cs="Arial"/>
                <w:sz w:val="22"/>
                <w:szCs w:val="22"/>
                <w:lang w:val="es-MX"/>
              </w:rPr>
            </w:pPr>
            <w:r w:rsidRPr="00145F79">
              <w:rPr>
                <w:rFonts w:asciiTheme="majorHAnsi" w:hAnsiTheme="majorHAnsi" w:cs="Arial"/>
                <w:sz w:val="22"/>
                <w:szCs w:val="22"/>
                <w:lang w:val="es-MX"/>
              </w:rPr>
              <w:t>adelante</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684FE1F1" w14:textId="77777777" w:rsidR="00145F79" w:rsidRPr="00145F79" w:rsidRDefault="00145F79" w:rsidP="00145F79">
            <w:pPr>
              <w:rPr>
                <w:rFonts w:asciiTheme="majorHAnsi" w:hAnsiTheme="majorHAnsi" w:cs="Arial"/>
                <w:sz w:val="22"/>
                <w:szCs w:val="22"/>
                <w:lang w:val="es-MX"/>
              </w:rPr>
            </w:pPr>
            <w:r w:rsidRPr="00145F79">
              <w:rPr>
                <w:rFonts w:asciiTheme="majorHAnsi" w:hAnsiTheme="majorHAnsi" w:cs="Arial"/>
                <w:sz w:val="22"/>
                <w:szCs w:val="22"/>
                <w:lang w:val="es-MX"/>
              </w:rPr>
              <w:t>En adelante</w:t>
            </w:r>
          </w:p>
        </w:tc>
        <w:tc>
          <w:tcPr>
            <w:tcW w:w="1375" w:type="dxa"/>
            <w:tcBorders>
              <w:top w:val="single" w:sz="4" w:space="0" w:color="000000"/>
              <w:left w:val="single" w:sz="4" w:space="0" w:color="000000"/>
              <w:bottom w:val="single" w:sz="4" w:space="0" w:color="000000"/>
              <w:right w:val="single" w:sz="4" w:space="0" w:color="000000"/>
            </w:tcBorders>
            <w:vAlign w:val="center"/>
            <w:hideMark/>
          </w:tcPr>
          <w:p w14:paraId="5B9BC685" w14:textId="77777777" w:rsidR="00145F79" w:rsidRPr="00145F79" w:rsidRDefault="00145F79" w:rsidP="00145F79">
            <w:pPr>
              <w:rPr>
                <w:rFonts w:asciiTheme="majorHAnsi" w:hAnsiTheme="majorHAnsi" w:cs="Arial"/>
                <w:sz w:val="22"/>
                <w:szCs w:val="22"/>
                <w:lang w:val="es-MX"/>
              </w:rPr>
            </w:pPr>
            <w:r w:rsidRPr="00145F79">
              <w:rPr>
                <w:rFonts w:asciiTheme="majorHAnsi" w:hAnsiTheme="majorHAnsi" w:cs="Arial"/>
                <w:sz w:val="22"/>
                <w:szCs w:val="22"/>
                <w:lang w:val="es-MX"/>
              </w:rPr>
              <w:t>En adelante</w:t>
            </w:r>
          </w:p>
        </w:tc>
      </w:tr>
    </w:tbl>
    <w:p w14:paraId="202D1818" w14:textId="77777777" w:rsidR="00EA360E" w:rsidRDefault="00EA360E" w:rsidP="00EA360E">
      <w:pPr>
        <w:rPr>
          <w:rFonts w:asciiTheme="majorHAnsi" w:hAnsiTheme="majorHAnsi" w:cs="Arial"/>
          <w:b/>
          <w:sz w:val="22"/>
          <w:szCs w:val="22"/>
          <w:lang w:val="es-MX"/>
        </w:rPr>
      </w:pPr>
    </w:p>
    <w:p w14:paraId="7D021A38" w14:textId="77777777" w:rsidR="00EA360E" w:rsidRDefault="00EA360E" w:rsidP="00EA360E">
      <w:pPr>
        <w:rPr>
          <w:rFonts w:asciiTheme="majorHAnsi" w:hAnsiTheme="majorHAnsi" w:cs="Arial"/>
          <w:b/>
          <w:sz w:val="22"/>
          <w:szCs w:val="22"/>
          <w:lang w:val="es-MX"/>
        </w:rPr>
      </w:pPr>
    </w:p>
    <w:p w14:paraId="506FB7CF" w14:textId="477CB477" w:rsidR="000844FF" w:rsidRDefault="000844FF" w:rsidP="00EA360E">
      <w:pPr>
        <w:rPr>
          <w:rFonts w:asciiTheme="majorHAnsi" w:hAnsiTheme="majorHAnsi" w:cs="Arial"/>
          <w:b/>
          <w:sz w:val="22"/>
          <w:szCs w:val="22"/>
          <w:lang w:val="es-MX"/>
        </w:rPr>
      </w:pPr>
      <w:r w:rsidRPr="00603472">
        <w:rPr>
          <w:rFonts w:asciiTheme="majorHAnsi" w:hAnsiTheme="majorHAnsi" w:cs="Arial"/>
          <w:b/>
          <w:sz w:val="22"/>
          <w:szCs w:val="22"/>
          <w:lang w:val="es-MX"/>
        </w:rPr>
        <w:t>PRESUPUE</w:t>
      </w:r>
      <w:r>
        <w:rPr>
          <w:rFonts w:asciiTheme="majorHAnsi" w:hAnsiTheme="majorHAnsi" w:cs="Arial"/>
          <w:b/>
          <w:sz w:val="22"/>
          <w:szCs w:val="22"/>
          <w:lang w:val="es-MX"/>
        </w:rPr>
        <w:t>STO DE EGREROS DEL ESTADO DE JALISCO</w:t>
      </w:r>
    </w:p>
    <w:p w14:paraId="4D5FC662" w14:textId="48715827" w:rsidR="009D00E7" w:rsidRDefault="009D00E7" w:rsidP="00EA360E">
      <w:pPr>
        <w:rPr>
          <w:rFonts w:asciiTheme="majorHAnsi" w:hAnsiTheme="majorHAnsi" w:cs="Arial"/>
          <w:b/>
          <w:sz w:val="22"/>
          <w:szCs w:val="22"/>
          <w:lang w:val="es-MX"/>
        </w:rPr>
      </w:pPr>
    </w:p>
    <w:p w14:paraId="6E4A8886" w14:textId="5DB9E3B9" w:rsidR="009D00E7" w:rsidRDefault="00603472" w:rsidP="00EA360E">
      <w:pPr>
        <w:rPr>
          <w:rFonts w:asciiTheme="majorHAnsi" w:hAnsiTheme="majorHAnsi" w:cs="Arial"/>
          <w:b/>
          <w:sz w:val="22"/>
          <w:szCs w:val="22"/>
          <w:lang w:val="es-MX"/>
        </w:rPr>
      </w:pPr>
      <w:r>
        <w:rPr>
          <w:noProof/>
          <w:lang w:val="es-MX" w:eastAsia="es-MX"/>
        </w:rPr>
        <w:drawing>
          <wp:anchor distT="0" distB="0" distL="114300" distR="114300" simplePos="0" relativeHeight="251657728" behindDoc="1" locked="0" layoutInCell="1" allowOverlap="1" wp14:anchorId="43478345" wp14:editId="7751C3BD">
            <wp:simplePos x="0" y="0"/>
            <wp:positionH relativeFrom="column">
              <wp:posOffset>-3810</wp:posOffset>
            </wp:positionH>
            <wp:positionV relativeFrom="paragraph">
              <wp:posOffset>26670</wp:posOffset>
            </wp:positionV>
            <wp:extent cx="5438775" cy="4371975"/>
            <wp:effectExtent l="0" t="0" r="9525"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5438775" cy="4371975"/>
                    </a:xfrm>
                    <a:prstGeom prst="rect">
                      <a:avLst/>
                    </a:prstGeom>
                  </pic:spPr>
                </pic:pic>
              </a:graphicData>
            </a:graphic>
            <wp14:sizeRelH relativeFrom="page">
              <wp14:pctWidth>0</wp14:pctWidth>
            </wp14:sizeRelH>
            <wp14:sizeRelV relativeFrom="page">
              <wp14:pctHeight>0</wp14:pctHeight>
            </wp14:sizeRelV>
          </wp:anchor>
        </w:drawing>
      </w:r>
    </w:p>
    <w:p w14:paraId="51698DAF" w14:textId="264FC80A" w:rsidR="000844FF" w:rsidRDefault="000844FF" w:rsidP="00EA360E">
      <w:pPr>
        <w:rPr>
          <w:rFonts w:asciiTheme="majorHAnsi" w:hAnsiTheme="majorHAnsi" w:cs="Arial"/>
          <w:b/>
          <w:sz w:val="22"/>
          <w:szCs w:val="22"/>
          <w:lang w:val="es-MX"/>
        </w:rPr>
      </w:pPr>
    </w:p>
    <w:p w14:paraId="596D47FE" w14:textId="61D4D5D1" w:rsidR="000844FF" w:rsidRDefault="000844FF" w:rsidP="00EA360E">
      <w:pPr>
        <w:rPr>
          <w:rFonts w:asciiTheme="majorHAnsi" w:hAnsiTheme="majorHAnsi" w:cs="Arial"/>
          <w:b/>
          <w:sz w:val="22"/>
          <w:szCs w:val="22"/>
          <w:lang w:val="es-MX"/>
        </w:rPr>
      </w:pPr>
    </w:p>
    <w:p w14:paraId="3C6469B3" w14:textId="325395A9" w:rsidR="009D00E7" w:rsidRDefault="009D00E7" w:rsidP="00EA360E">
      <w:pPr>
        <w:rPr>
          <w:rFonts w:asciiTheme="majorHAnsi" w:hAnsiTheme="majorHAnsi" w:cs="Arial"/>
          <w:b/>
          <w:sz w:val="22"/>
          <w:szCs w:val="22"/>
          <w:lang w:val="es-MX"/>
        </w:rPr>
      </w:pPr>
    </w:p>
    <w:p w14:paraId="7337DCF4" w14:textId="77777777" w:rsidR="009D00E7" w:rsidRDefault="009D00E7" w:rsidP="00EA360E">
      <w:pPr>
        <w:rPr>
          <w:rFonts w:asciiTheme="majorHAnsi" w:hAnsiTheme="majorHAnsi" w:cs="Arial"/>
          <w:b/>
          <w:sz w:val="22"/>
          <w:szCs w:val="22"/>
          <w:lang w:val="es-MX"/>
        </w:rPr>
      </w:pPr>
    </w:p>
    <w:p w14:paraId="4124702E" w14:textId="7DBF91CE" w:rsidR="009D00E7" w:rsidRDefault="009D00E7" w:rsidP="00EA360E">
      <w:pPr>
        <w:rPr>
          <w:rFonts w:asciiTheme="majorHAnsi" w:hAnsiTheme="majorHAnsi" w:cs="Arial"/>
          <w:b/>
          <w:sz w:val="22"/>
          <w:szCs w:val="22"/>
          <w:lang w:val="es-MX"/>
        </w:rPr>
      </w:pPr>
    </w:p>
    <w:p w14:paraId="2DF07226" w14:textId="77777777" w:rsidR="009D00E7" w:rsidRDefault="009D00E7" w:rsidP="00EA360E">
      <w:pPr>
        <w:rPr>
          <w:rFonts w:asciiTheme="majorHAnsi" w:hAnsiTheme="majorHAnsi" w:cs="Arial"/>
          <w:b/>
          <w:sz w:val="22"/>
          <w:szCs w:val="22"/>
          <w:lang w:val="es-MX"/>
        </w:rPr>
      </w:pPr>
    </w:p>
    <w:p w14:paraId="7C57E2AF" w14:textId="352D3DCE" w:rsidR="009D00E7" w:rsidRDefault="009D00E7" w:rsidP="00EA360E">
      <w:pPr>
        <w:rPr>
          <w:rFonts w:asciiTheme="majorHAnsi" w:hAnsiTheme="majorHAnsi" w:cs="Arial"/>
          <w:b/>
          <w:sz w:val="22"/>
          <w:szCs w:val="22"/>
          <w:lang w:val="es-MX"/>
        </w:rPr>
      </w:pPr>
    </w:p>
    <w:p w14:paraId="52A04D55" w14:textId="77777777" w:rsidR="009D00E7" w:rsidRDefault="009D00E7" w:rsidP="00EA360E">
      <w:pPr>
        <w:rPr>
          <w:rFonts w:asciiTheme="majorHAnsi" w:hAnsiTheme="majorHAnsi" w:cs="Arial"/>
          <w:b/>
          <w:sz w:val="22"/>
          <w:szCs w:val="22"/>
          <w:lang w:val="es-MX"/>
        </w:rPr>
      </w:pPr>
    </w:p>
    <w:p w14:paraId="6AC39629" w14:textId="5013429F" w:rsidR="009D00E7" w:rsidRDefault="009D00E7" w:rsidP="00EA360E">
      <w:pPr>
        <w:rPr>
          <w:rFonts w:asciiTheme="majorHAnsi" w:hAnsiTheme="majorHAnsi" w:cs="Arial"/>
          <w:b/>
          <w:sz w:val="22"/>
          <w:szCs w:val="22"/>
          <w:lang w:val="es-MX"/>
        </w:rPr>
      </w:pPr>
    </w:p>
    <w:p w14:paraId="6C648C64" w14:textId="2F4C54D6" w:rsidR="009D00E7" w:rsidRDefault="009D00E7" w:rsidP="00EA360E">
      <w:pPr>
        <w:rPr>
          <w:rFonts w:asciiTheme="majorHAnsi" w:hAnsiTheme="majorHAnsi" w:cs="Arial"/>
          <w:b/>
          <w:sz w:val="22"/>
          <w:szCs w:val="22"/>
          <w:lang w:val="es-MX"/>
        </w:rPr>
      </w:pPr>
    </w:p>
    <w:p w14:paraId="686ACEF0" w14:textId="2E6D7B55" w:rsidR="009D00E7" w:rsidRDefault="009D00E7" w:rsidP="00EA360E">
      <w:pPr>
        <w:rPr>
          <w:rFonts w:asciiTheme="majorHAnsi" w:hAnsiTheme="majorHAnsi" w:cs="Arial"/>
          <w:b/>
          <w:sz w:val="22"/>
          <w:szCs w:val="22"/>
          <w:lang w:val="es-MX"/>
        </w:rPr>
      </w:pPr>
    </w:p>
    <w:p w14:paraId="6491BBB4" w14:textId="77EF18F2" w:rsidR="009D00E7" w:rsidRDefault="009D00E7" w:rsidP="00EA360E">
      <w:pPr>
        <w:rPr>
          <w:rFonts w:asciiTheme="majorHAnsi" w:hAnsiTheme="majorHAnsi" w:cs="Arial"/>
          <w:b/>
          <w:sz w:val="22"/>
          <w:szCs w:val="22"/>
          <w:lang w:val="es-MX"/>
        </w:rPr>
      </w:pPr>
    </w:p>
    <w:p w14:paraId="45DAE585" w14:textId="4B64320C" w:rsidR="009D00E7" w:rsidRDefault="009D00E7" w:rsidP="00EA360E">
      <w:pPr>
        <w:rPr>
          <w:rFonts w:asciiTheme="majorHAnsi" w:hAnsiTheme="majorHAnsi" w:cs="Arial"/>
          <w:b/>
          <w:sz w:val="22"/>
          <w:szCs w:val="22"/>
          <w:lang w:val="es-MX"/>
        </w:rPr>
      </w:pPr>
    </w:p>
    <w:p w14:paraId="79A40631" w14:textId="77777777" w:rsidR="009D00E7" w:rsidRDefault="009D00E7" w:rsidP="00EA360E">
      <w:pPr>
        <w:rPr>
          <w:rFonts w:asciiTheme="majorHAnsi" w:hAnsiTheme="majorHAnsi" w:cs="Arial"/>
          <w:b/>
          <w:sz w:val="22"/>
          <w:szCs w:val="22"/>
          <w:lang w:val="es-MX"/>
        </w:rPr>
      </w:pPr>
    </w:p>
    <w:p w14:paraId="248E6EB4" w14:textId="4F8771E9" w:rsidR="009D00E7" w:rsidRDefault="009D00E7" w:rsidP="00EA360E">
      <w:pPr>
        <w:rPr>
          <w:rFonts w:asciiTheme="majorHAnsi" w:hAnsiTheme="majorHAnsi" w:cs="Arial"/>
          <w:b/>
          <w:sz w:val="22"/>
          <w:szCs w:val="22"/>
          <w:lang w:val="es-MX"/>
        </w:rPr>
      </w:pPr>
    </w:p>
    <w:p w14:paraId="54B4DDD0" w14:textId="7B5BB625" w:rsidR="00EA360E" w:rsidRDefault="00EA360E" w:rsidP="00EA360E">
      <w:pPr>
        <w:rPr>
          <w:rFonts w:asciiTheme="majorHAnsi" w:hAnsiTheme="majorHAnsi" w:cs="Arial"/>
          <w:b/>
          <w:sz w:val="22"/>
          <w:szCs w:val="22"/>
          <w:lang w:val="es-MX"/>
        </w:rPr>
      </w:pPr>
    </w:p>
    <w:p w14:paraId="39AE5DFD" w14:textId="77777777" w:rsidR="00EA360E" w:rsidRDefault="00EA360E" w:rsidP="00EA360E">
      <w:pPr>
        <w:rPr>
          <w:rFonts w:asciiTheme="majorHAnsi" w:hAnsiTheme="majorHAnsi" w:cs="Arial"/>
          <w:b/>
          <w:sz w:val="22"/>
          <w:szCs w:val="22"/>
          <w:lang w:val="es-MX"/>
        </w:rPr>
      </w:pPr>
    </w:p>
    <w:p w14:paraId="763BD4D6" w14:textId="77777777" w:rsidR="009D00E7" w:rsidRDefault="009D00E7" w:rsidP="00EA360E">
      <w:pPr>
        <w:rPr>
          <w:rFonts w:asciiTheme="majorHAnsi" w:hAnsiTheme="majorHAnsi" w:cs="Arial"/>
          <w:b/>
          <w:sz w:val="22"/>
          <w:szCs w:val="22"/>
          <w:lang w:val="es-MX"/>
        </w:rPr>
      </w:pPr>
    </w:p>
    <w:p w14:paraId="65E5A191" w14:textId="77777777" w:rsidR="009D00E7" w:rsidRDefault="009D00E7" w:rsidP="00EA360E">
      <w:pPr>
        <w:rPr>
          <w:rFonts w:asciiTheme="majorHAnsi" w:hAnsiTheme="majorHAnsi" w:cs="Arial"/>
          <w:b/>
          <w:sz w:val="22"/>
          <w:szCs w:val="22"/>
          <w:lang w:val="es-MX"/>
        </w:rPr>
      </w:pPr>
    </w:p>
    <w:p w14:paraId="35742273" w14:textId="77777777" w:rsidR="009D00E7" w:rsidRDefault="009D00E7" w:rsidP="00EA360E">
      <w:pPr>
        <w:rPr>
          <w:rFonts w:asciiTheme="majorHAnsi" w:hAnsiTheme="majorHAnsi" w:cs="Arial"/>
          <w:b/>
          <w:sz w:val="22"/>
          <w:szCs w:val="22"/>
          <w:lang w:val="es-MX"/>
        </w:rPr>
      </w:pPr>
    </w:p>
    <w:p w14:paraId="435A6966" w14:textId="77777777" w:rsidR="009D00E7" w:rsidRDefault="009D00E7" w:rsidP="00EA360E">
      <w:pPr>
        <w:rPr>
          <w:rFonts w:asciiTheme="majorHAnsi" w:hAnsiTheme="majorHAnsi" w:cs="Arial"/>
          <w:b/>
          <w:sz w:val="22"/>
          <w:szCs w:val="22"/>
          <w:lang w:val="es-MX"/>
        </w:rPr>
      </w:pPr>
    </w:p>
    <w:p w14:paraId="7E8A3CCD" w14:textId="77777777" w:rsidR="009D00E7" w:rsidRDefault="009D00E7" w:rsidP="00EA360E">
      <w:pPr>
        <w:rPr>
          <w:rFonts w:asciiTheme="majorHAnsi" w:hAnsiTheme="majorHAnsi" w:cs="Arial"/>
          <w:b/>
          <w:sz w:val="22"/>
          <w:szCs w:val="22"/>
          <w:lang w:val="es-MX"/>
        </w:rPr>
      </w:pPr>
    </w:p>
    <w:p w14:paraId="184B8102" w14:textId="77777777" w:rsidR="009D00E7" w:rsidRDefault="009D00E7" w:rsidP="00EA360E">
      <w:pPr>
        <w:rPr>
          <w:rFonts w:asciiTheme="majorHAnsi" w:hAnsiTheme="majorHAnsi" w:cs="Arial"/>
          <w:b/>
          <w:sz w:val="22"/>
          <w:szCs w:val="22"/>
          <w:lang w:val="es-MX"/>
        </w:rPr>
      </w:pPr>
    </w:p>
    <w:p w14:paraId="23A0D902" w14:textId="77777777" w:rsidR="009D00E7" w:rsidRDefault="009D00E7" w:rsidP="00EA360E">
      <w:pPr>
        <w:rPr>
          <w:rFonts w:asciiTheme="majorHAnsi" w:hAnsiTheme="majorHAnsi" w:cs="Arial"/>
          <w:b/>
          <w:sz w:val="22"/>
          <w:szCs w:val="22"/>
          <w:lang w:val="es-MX"/>
        </w:rPr>
      </w:pPr>
    </w:p>
    <w:p w14:paraId="6CB1ECCD" w14:textId="77777777" w:rsidR="009D00E7" w:rsidRDefault="009D00E7" w:rsidP="00EA360E">
      <w:pPr>
        <w:rPr>
          <w:rFonts w:asciiTheme="majorHAnsi" w:hAnsiTheme="majorHAnsi" w:cs="Arial"/>
          <w:b/>
          <w:sz w:val="22"/>
          <w:szCs w:val="22"/>
          <w:lang w:val="es-MX"/>
        </w:rPr>
      </w:pPr>
    </w:p>
    <w:p w14:paraId="4EC0F617" w14:textId="77777777" w:rsidR="009D00E7" w:rsidRDefault="009D00E7" w:rsidP="00EA360E">
      <w:pPr>
        <w:rPr>
          <w:rFonts w:asciiTheme="majorHAnsi" w:hAnsiTheme="majorHAnsi" w:cs="Arial"/>
          <w:b/>
          <w:sz w:val="22"/>
          <w:szCs w:val="22"/>
          <w:lang w:val="es-MX"/>
        </w:rPr>
      </w:pPr>
    </w:p>
    <w:p w14:paraId="2B68926E" w14:textId="245D96D8" w:rsidR="009D00E7" w:rsidRDefault="00603472" w:rsidP="00F064A0">
      <w:pPr>
        <w:jc w:val="both"/>
        <w:rPr>
          <w:rFonts w:asciiTheme="majorHAnsi" w:hAnsiTheme="majorHAnsi" w:cs="Arial"/>
          <w:sz w:val="22"/>
          <w:szCs w:val="22"/>
          <w:lang w:val="es-MX"/>
        </w:rPr>
      </w:pPr>
      <w:r>
        <w:rPr>
          <w:rFonts w:asciiTheme="majorHAnsi" w:hAnsiTheme="majorHAnsi" w:cs="Arial"/>
          <w:b/>
          <w:sz w:val="22"/>
          <w:szCs w:val="22"/>
          <w:lang w:val="es-MX"/>
        </w:rPr>
        <w:t>Artículo 25</w:t>
      </w:r>
      <w:r w:rsidR="009D00E7">
        <w:rPr>
          <w:rFonts w:asciiTheme="majorHAnsi" w:hAnsiTheme="majorHAnsi" w:cs="Arial"/>
          <w:b/>
          <w:sz w:val="22"/>
          <w:szCs w:val="22"/>
          <w:lang w:val="es-MX"/>
        </w:rPr>
        <w:t xml:space="preserve">. </w:t>
      </w:r>
      <w:r w:rsidR="009D00E7" w:rsidRPr="009D00E7">
        <w:rPr>
          <w:rFonts w:asciiTheme="majorHAnsi" w:hAnsiTheme="majorHAnsi" w:cs="Arial"/>
          <w:sz w:val="22"/>
          <w:szCs w:val="22"/>
          <w:lang w:val="es-MX"/>
        </w:rPr>
        <w:t xml:space="preserve">Para efecto de lo establecido en la Ley de Compras Gubernamentales, Enajenaciones y Contratación de Servicios del Estado de Jalisco y sus Municipios, y su Reglamento, </w:t>
      </w:r>
      <w:r w:rsidR="009D00E7">
        <w:rPr>
          <w:rFonts w:asciiTheme="majorHAnsi" w:hAnsiTheme="majorHAnsi" w:cs="Arial"/>
          <w:sz w:val="22"/>
          <w:szCs w:val="22"/>
          <w:lang w:val="es-MX"/>
        </w:rPr>
        <w:t xml:space="preserve">se establecen los montos mínimos y máximos para los diversos procedimientos de adquisición de bienes, servicios y arrendamientos </w:t>
      </w:r>
      <w:r w:rsidR="00900E32">
        <w:rPr>
          <w:rFonts w:asciiTheme="majorHAnsi" w:hAnsiTheme="majorHAnsi" w:cs="Arial"/>
          <w:sz w:val="22"/>
          <w:szCs w:val="22"/>
          <w:lang w:val="es-MX"/>
        </w:rPr>
        <w:t>siendo dichos montos los siguientes:</w:t>
      </w:r>
    </w:p>
    <w:p w14:paraId="152E3229" w14:textId="77777777" w:rsidR="00900E32" w:rsidRPr="009D00E7" w:rsidRDefault="00900E32" w:rsidP="00EA360E">
      <w:pPr>
        <w:rPr>
          <w:rFonts w:asciiTheme="majorHAnsi" w:hAnsiTheme="majorHAnsi" w:cs="Arial"/>
          <w:sz w:val="22"/>
          <w:szCs w:val="22"/>
          <w:lang w:val="es-MX"/>
        </w:rPr>
      </w:pPr>
    </w:p>
    <w:tbl>
      <w:tblPr>
        <w:tblStyle w:val="Tablaconcuadrcula"/>
        <w:tblW w:w="0" w:type="auto"/>
        <w:tblInd w:w="840" w:type="dxa"/>
        <w:tblLook w:val="04A0" w:firstRow="1" w:lastRow="0" w:firstColumn="1" w:lastColumn="0" w:noHBand="0" w:noVBand="1"/>
      </w:tblPr>
      <w:tblGrid>
        <w:gridCol w:w="1532"/>
        <w:gridCol w:w="1532"/>
        <w:gridCol w:w="1627"/>
        <w:gridCol w:w="1761"/>
        <w:gridCol w:w="1762"/>
      </w:tblGrid>
      <w:tr w:rsidR="00900E32" w14:paraId="74EFC8D4" w14:textId="77777777" w:rsidTr="00900E32">
        <w:tc>
          <w:tcPr>
            <w:tcW w:w="1823" w:type="dxa"/>
            <w:shd w:val="clear" w:color="auto" w:fill="D9D9D9" w:themeFill="background1" w:themeFillShade="D9"/>
          </w:tcPr>
          <w:p w14:paraId="78D58162" w14:textId="77777777" w:rsidR="00900E32" w:rsidRPr="00603472" w:rsidRDefault="00900E32" w:rsidP="00746911">
            <w:pPr>
              <w:jc w:val="center"/>
              <w:rPr>
                <w:rFonts w:asciiTheme="majorHAnsi" w:hAnsiTheme="majorHAnsi" w:cs="Arial"/>
                <w:b/>
                <w:sz w:val="22"/>
                <w:szCs w:val="22"/>
                <w:lang w:val="es-MX"/>
              </w:rPr>
            </w:pPr>
          </w:p>
          <w:p w14:paraId="31D18769" w14:textId="77777777" w:rsidR="00900E32" w:rsidRPr="00603472" w:rsidRDefault="00900E32" w:rsidP="00746911">
            <w:pPr>
              <w:jc w:val="center"/>
              <w:rPr>
                <w:rFonts w:asciiTheme="majorHAnsi" w:hAnsiTheme="majorHAnsi" w:cs="Arial"/>
                <w:b/>
                <w:sz w:val="22"/>
                <w:szCs w:val="22"/>
                <w:lang w:val="es-MX"/>
              </w:rPr>
            </w:pPr>
            <w:r w:rsidRPr="00603472">
              <w:rPr>
                <w:rFonts w:asciiTheme="majorHAnsi" w:hAnsiTheme="majorHAnsi" w:cs="Arial"/>
                <w:b/>
                <w:sz w:val="22"/>
                <w:szCs w:val="22"/>
                <w:lang w:val="es-MX"/>
              </w:rPr>
              <w:t>DE</w:t>
            </w:r>
          </w:p>
        </w:tc>
        <w:tc>
          <w:tcPr>
            <w:tcW w:w="1823" w:type="dxa"/>
            <w:shd w:val="clear" w:color="auto" w:fill="D9D9D9" w:themeFill="background1" w:themeFillShade="D9"/>
          </w:tcPr>
          <w:p w14:paraId="4E4495E5" w14:textId="77777777" w:rsidR="00900E32" w:rsidRPr="00603472" w:rsidRDefault="00900E32" w:rsidP="00746911">
            <w:pPr>
              <w:jc w:val="center"/>
              <w:rPr>
                <w:rFonts w:asciiTheme="majorHAnsi" w:hAnsiTheme="majorHAnsi" w:cs="Arial"/>
                <w:b/>
                <w:sz w:val="22"/>
                <w:szCs w:val="22"/>
                <w:lang w:val="es-MX"/>
              </w:rPr>
            </w:pPr>
          </w:p>
          <w:p w14:paraId="3837485C" w14:textId="77777777" w:rsidR="00900E32" w:rsidRPr="00603472" w:rsidRDefault="00900E32" w:rsidP="00746911">
            <w:pPr>
              <w:jc w:val="center"/>
              <w:rPr>
                <w:rFonts w:asciiTheme="majorHAnsi" w:hAnsiTheme="majorHAnsi" w:cs="Arial"/>
                <w:b/>
                <w:sz w:val="22"/>
                <w:szCs w:val="22"/>
                <w:lang w:val="es-MX"/>
              </w:rPr>
            </w:pPr>
            <w:r w:rsidRPr="00603472">
              <w:rPr>
                <w:rFonts w:asciiTheme="majorHAnsi" w:hAnsiTheme="majorHAnsi" w:cs="Arial"/>
                <w:b/>
                <w:sz w:val="22"/>
                <w:szCs w:val="22"/>
                <w:lang w:val="es-MX"/>
              </w:rPr>
              <w:t>HASTA</w:t>
            </w:r>
          </w:p>
        </w:tc>
        <w:tc>
          <w:tcPr>
            <w:tcW w:w="1823" w:type="dxa"/>
            <w:shd w:val="clear" w:color="auto" w:fill="D9D9D9" w:themeFill="background1" w:themeFillShade="D9"/>
          </w:tcPr>
          <w:p w14:paraId="3BDFC6EA" w14:textId="77777777" w:rsidR="00900E32" w:rsidRPr="00E676E3" w:rsidRDefault="00900E32" w:rsidP="00746911">
            <w:pPr>
              <w:jc w:val="center"/>
              <w:rPr>
                <w:rFonts w:asciiTheme="majorHAnsi" w:hAnsiTheme="majorHAnsi" w:cs="Arial"/>
                <w:b/>
                <w:sz w:val="22"/>
                <w:szCs w:val="22"/>
                <w:lang w:val="es-MX"/>
              </w:rPr>
            </w:pPr>
          </w:p>
          <w:p w14:paraId="12DEE284" w14:textId="77777777" w:rsidR="00900E32" w:rsidRPr="00E676E3" w:rsidRDefault="00900E32" w:rsidP="00746911">
            <w:pPr>
              <w:jc w:val="center"/>
              <w:rPr>
                <w:rFonts w:asciiTheme="majorHAnsi" w:hAnsiTheme="majorHAnsi" w:cs="Arial"/>
                <w:b/>
                <w:sz w:val="22"/>
                <w:szCs w:val="22"/>
                <w:lang w:val="es-MX"/>
              </w:rPr>
            </w:pPr>
            <w:r w:rsidRPr="00E676E3">
              <w:rPr>
                <w:rFonts w:asciiTheme="majorHAnsi" w:hAnsiTheme="majorHAnsi" w:cs="Arial"/>
                <w:b/>
                <w:sz w:val="22"/>
                <w:szCs w:val="22"/>
                <w:lang w:val="es-MX"/>
              </w:rPr>
              <w:t>FONDO REVOLVENTE</w:t>
            </w:r>
          </w:p>
        </w:tc>
        <w:tc>
          <w:tcPr>
            <w:tcW w:w="1823" w:type="dxa"/>
            <w:shd w:val="clear" w:color="auto" w:fill="D9D9D9" w:themeFill="background1" w:themeFillShade="D9"/>
          </w:tcPr>
          <w:p w14:paraId="0BA49DD3" w14:textId="77777777" w:rsidR="00900E32" w:rsidRPr="00E676E3" w:rsidRDefault="00900E32" w:rsidP="00746911">
            <w:pPr>
              <w:jc w:val="center"/>
              <w:rPr>
                <w:rFonts w:asciiTheme="majorHAnsi" w:hAnsiTheme="majorHAnsi" w:cs="Arial"/>
                <w:b/>
                <w:sz w:val="22"/>
                <w:szCs w:val="22"/>
                <w:lang w:val="es-MX"/>
              </w:rPr>
            </w:pPr>
            <w:r w:rsidRPr="00E676E3">
              <w:rPr>
                <w:rFonts w:asciiTheme="majorHAnsi" w:hAnsiTheme="majorHAnsi" w:cs="Arial"/>
                <w:b/>
                <w:sz w:val="22"/>
                <w:szCs w:val="22"/>
                <w:lang w:val="es-MX"/>
              </w:rPr>
              <w:t>LICITACIÓN SIN CONCURRENCIA DEL COMITÉ</w:t>
            </w:r>
          </w:p>
        </w:tc>
        <w:tc>
          <w:tcPr>
            <w:tcW w:w="1824" w:type="dxa"/>
            <w:shd w:val="clear" w:color="auto" w:fill="D9D9D9" w:themeFill="background1" w:themeFillShade="D9"/>
          </w:tcPr>
          <w:p w14:paraId="45476026" w14:textId="77777777" w:rsidR="00900E32" w:rsidRPr="00E676E3" w:rsidRDefault="00900E32" w:rsidP="00746911">
            <w:pPr>
              <w:jc w:val="center"/>
              <w:rPr>
                <w:rFonts w:asciiTheme="majorHAnsi" w:hAnsiTheme="majorHAnsi" w:cs="Arial"/>
                <w:b/>
                <w:sz w:val="22"/>
                <w:szCs w:val="22"/>
                <w:lang w:val="es-MX"/>
              </w:rPr>
            </w:pPr>
            <w:r w:rsidRPr="00E676E3">
              <w:rPr>
                <w:rFonts w:asciiTheme="majorHAnsi" w:hAnsiTheme="majorHAnsi" w:cs="Arial"/>
                <w:b/>
                <w:sz w:val="22"/>
                <w:szCs w:val="22"/>
                <w:lang w:val="es-MX"/>
              </w:rPr>
              <w:t>LICITACIÓN CON CONCURRENCIA DEL COMITÉ</w:t>
            </w:r>
          </w:p>
        </w:tc>
      </w:tr>
      <w:tr w:rsidR="00900E32" w14:paraId="083CCF9A" w14:textId="77777777" w:rsidTr="00900E32">
        <w:tc>
          <w:tcPr>
            <w:tcW w:w="1823" w:type="dxa"/>
          </w:tcPr>
          <w:p w14:paraId="2DF8595D" w14:textId="5CF6E83E" w:rsidR="00900E32" w:rsidRPr="00603472" w:rsidRDefault="00900E32" w:rsidP="00900E32">
            <w:pPr>
              <w:jc w:val="center"/>
              <w:rPr>
                <w:rFonts w:asciiTheme="majorHAnsi" w:hAnsiTheme="majorHAnsi" w:cs="Arial"/>
                <w:b/>
                <w:sz w:val="22"/>
                <w:szCs w:val="22"/>
                <w:lang w:val="es-MX"/>
              </w:rPr>
            </w:pPr>
            <w:r w:rsidRPr="00603472">
              <w:rPr>
                <w:rFonts w:asciiTheme="majorHAnsi" w:hAnsiTheme="majorHAnsi" w:cs="Arial"/>
                <w:b/>
                <w:sz w:val="22"/>
                <w:szCs w:val="22"/>
                <w:lang w:val="es-MX"/>
              </w:rPr>
              <w:t>$0</w:t>
            </w:r>
          </w:p>
        </w:tc>
        <w:tc>
          <w:tcPr>
            <w:tcW w:w="1823" w:type="dxa"/>
          </w:tcPr>
          <w:p w14:paraId="2B891170" w14:textId="40233148" w:rsidR="00900E32" w:rsidRPr="00603472" w:rsidRDefault="00603472" w:rsidP="00900E32">
            <w:pPr>
              <w:jc w:val="center"/>
              <w:rPr>
                <w:rFonts w:asciiTheme="majorHAnsi" w:hAnsiTheme="majorHAnsi" w:cs="Arial"/>
                <w:b/>
                <w:sz w:val="22"/>
                <w:szCs w:val="22"/>
                <w:lang w:val="es-MX"/>
              </w:rPr>
            </w:pPr>
            <w:r w:rsidRPr="00603472">
              <w:rPr>
                <w:rFonts w:asciiTheme="majorHAnsi" w:hAnsiTheme="majorHAnsi" w:cs="Arial"/>
                <w:b/>
                <w:sz w:val="22"/>
                <w:szCs w:val="22"/>
                <w:lang w:val="es-MX"/>
              </w:rPr>
              <w:t>$50,0</w:t>
            </w:r>
            <w:r w:rsidR="00900E32" w:rsidRPr="00603472">
              <w:rPr>
                <w:rFonts w:asciiTheme="majorHAnsi" w:hAnsiTheme="majorHAnsi" w:cs="Arial"/>
                <w:b/>
                <w:sz w:val="22"/>
                <w:szCs w:val="22"/>
                <w:lang w:val="es-MX"/>
              </w:rPr>
              <w:t>00</w:t>
            </w:r>
          </w:p>
        </w:tc>
        <w:tc>
          <w:tcPr>
            <w:tcW w:w="1823" w:type="dxa"/>
          </w:tcPr>
          <w:p w14:paraId="446EC88F" w14:textId="77777777" w:rsidR="00900E32" w:rsidRPr="00E676E3" w:rsidRDefault="00900E32" w:rsidP="00746911">
            <w:pPr>
              <w:jc w:val="center"/>
              <w:rPr>
                <w:rFonts w:asciiTheme="majorHAnsi" w:hAnsiTheme="majorHAnsi" w:cs="Arial"/>
                <w:b/>
                <w:sz w:val="22"/>
                <w:szCs w:val="22"/>
                <w:lang w:val="es-MX"/>
              </w:rPr>
            </w:pPr>
            <w:r w:rsidRPr="00E676E3">
              <w:rPr>
                <w:rFonts w:asciiTheme="majorHAnsi" w:hAnsiTheme="majorHAnsi" w:cs="Arial"/>
                <w:b/>
                <w:sz w:val="22"/>
                <w:szCs w:val="22"/>
                <w:lang w:val="es-MX"/>
              </w:rPr>
              <w:t>X</w:t>
            </w:r>
          </w:p>
        </w:tc>
        <w:tc>
          <w:tcPr>
            <w:tcW w:w="1823" w:type="dxa"/>
          </w:tcPr>
          <w:p w14:paraId="6910EBBD" w14:textId="77777777" w:rsidR="00900E32" w:rsidRPr="00E676E3" w:rsidRDefault="00900E32" w:rsidP="00746911">
            <w:pPr>
              <w:jc w:val="center"/>
              <w:rPr>
                <w:rFonts w:asciiTheme="majorHAnsi" w:hAnsiTheme="majorHAnsi" w:cs="Arial"/>
                <w:b/>
                <w:sz w:val="22"/>
                <w:szCs w:val="22"/>
                <w:lang w:val="es-MX"/>
              </w:rPr>
            </w:pPr>
          </w:p>
        </w:tc>
        <w:tc>
          <w:tcPr>
            <w:tcW w:w="1824" w:type="dxa"/>
          </w:tcPr>
          <w:p w14:paraId="4930B10A" w14:textId="77777777" w:rsidR="00900E32" w:rsidRPr="00E676E3" w:rsidRDefault="00900E32" w:rsidP="00746911">
            <w:pPr>
              <w:jc w:val="center"/>
              <w:rPr>
                <w:rFonts w:asciiTheme="majorHAnsi" w:hAnsiTheme="majorHAnsi" w:cs="Arial"/>
                <w:b/>
                <w:sz w:val="22"/>
                <w:szCs w:val="22"/>
                <w:lang w:val="es-MX"/>
              </w:rPr>
            </w:pPr>
          </w:p>
        </w:tc>
      </w:tr>
      <w:tr w:rsidR="00900E32" w14:paraId="7F771CA9" w14:textId="77777777" w:rsidTr="00900E32">
        <w:tc>
          <w:tcPr>
            <w:tcW w:w="1823" w:type="dxa"/>
          </w:tcPr>
          <w:p w14:paraId="1FF4EAD7" w14:textId="319D2BDF" w:rsidR="00900E32" w:rsidRPr="00603472" w:rsidRDefault="00603472" w:rsidP="00603472">
            <w:pPr>
              <w:jc w:val="center"/>
              <w:rPr>
                <w:rFonts w:asciiTheme="majorHAnsi" w:hAnsiTheme="majorHAnsi" w:cs="Arial"/>
                <w:b/>
                <w:sz w:val="22"/>
                <w:szCs w:val="22"/>
                <w:lang w:val="es-MX"/>
              </w:rPr>
            </w:pPr>
            <w:r w:rsidRPr="00603472">
              <w:rPr>
                <w:rFonts w:asciiTheme="majorHAnsi" w:hAnsiTheme="majorHAnsi" w:cs="Arial"/>
                <w:b/>
                <w:sz w:val="22"/>
                <w:szCs w:val="22"/>
                <w:lang w:val="es-MX"/>
              </w:rPr>
              <w:t>$50,0</w:t>
            </w:r>
            <w:r w:rsidR="00900E32" w:rsidRPr="00603472">
              <w:rPr>
                <w:rFonts w:asciiTheme="majorHAnsi" w:hAnsiTheme="majorHAnsi" w:cs="Arial"/>
                <w:b/>
                <w:sz w:val="22"/>
                <w:szCs w:val="22"/>
                <w:lang w:val="es-MX"/>
              </w:rPr>
              <w:t>01</w:t>
            </w:r>
          </w:p>
        </w:tc>
        <w:tc>
          <w:tcPr>
            <w:tcW w:w="1823" w:type="dxa"/>
          </w:tcPr>
          <w:p w14:paraId="11E1EDCF" w14:textId="1156AE62" w:rsidR="00900E32" w:rsidRPr="00603472" w:rsidRDefault="00900E32" w:rsidP="00900E32">
            <w:pPr>
              <w:jc w:val="center"/>
              <w:rPr>
                <w:rFonts w:asciiTheme="majorHAnsi" w:hAnsiTheme="majorHAnsi" w:cs="Arial"/>
                <w:b/>
                <w:sz w:val="22"/>
                <w:szCs w:val="22"/>
                <w:lang w:val="es-MX"/>
              </w:rPr>
            </w:pPr>
            <w:r w:rsidRPr="00603472">
              <w:rPr>
                <w:rFonts w:asciiTheme="majorHAnsi" w:hAnsiTheme="majorHAnsi" w:cs="Arial"/>
                <w:b/>
                <w:sz w:val="22"/>
                <w:szCs w:val="22"/>
                <w:lang w:val="es-MX"/>
              </w:rPr>
              <w:t>$</w:t>
            </w:r>
            <w:r w:rsidR="00603472" w:rsidRPr="00603472">
              <w:rPr>
                <w:rFonts w:asciiTheme="majorHAnsi" w:hAnsiTheme="majorHAnsi" w:cs="Arial"/>
                <w:b/>
                <w:sz w:val="22"/>
                <w:szCs w:val="22"/>
                <w:lang w:val="es-MX"/>
              </w:rPr>
              <w:t>5,</w:t>
            </w:r>
            <w:r w:rsidRPr="00603472">
              <w:rPr>
                <w:rFonts w:asciiTheme="majorHAnsi" w:hAnsiTheme="majorHAnsi" w:cs="Arial"/>
                <w:b/>
                <w:sz w:val="22"/>
                <w:szCs w:val="22"/>
                <w:lang w:val="es-MX"/>
              </w:rPr>
              <w:t>000,000</w:t>
            </w:r>
          </w:p>
        </w:tc>
        <w:tc>
          <w:tcPr>
            <w:tcW w:w="1823" w:type="dxa"/>
          </w:tcPr>
          <w:p w14:paraId="236CDE6A" w14:textId="77777777" w:rsidR="00900E32" w:rsidRPr="00E676E3" w:rsidRDefault="00900E32" w:rsidP="00746911">
            <w:pPr>
              <w:jc w:val="center"/>
              <w:rPr>
                <w:rFonts w:asciiTheme="majorHAnsi" w:hAnsiTheme="majorHAnsi" w:cs="Arial"/>
                <w:b/>
                <w:sz w:val="22"/>
                <w:szCs w:val="22"/>
                <w:lang w:val="es-MX"/>
              </w:rPr>
            </w:pPr>
          </w:p>
        </w:tc>
        <w:tc>
          <w:tcPr>
            <w:tcW w:w="1823" w:type="dxa"/>
          </w:tcPr>
          <w:p w14:paraId="229D5589" w14:textId="77777777" w:rsidR="00900E32" w:rsidRPr="00E676E3" w:rsidRDefault="00900E32" w:rsidP="00746911">
            <w:pPr>
              <w:jc w:val="center"/>
              <w:rPr>
                <w:rFonts w:asciiTheme="majorHAnsi" w:hAnsiTheme="majorHAnsi" w:cs="Arial"/>
                <w:b/>
                <w:sz w:val="22"/>
                <w:szCs w:val="22"/>
                <w:lang w:val="es-MX"/>
              </w:rPr>
            </w:pPr>
            <w:r w:rsidRPr="00E676E3">
              <w:rPr>
                <w:rFonts w:asciiTheme="majorHAnsi" w:hAnsiTheme="majorHAnsi" w:cs="Arial"/>
                <w:b/>
                <w:sz w:val="22"/>
                <w:szCs w:val="22"/>
                <w:lang w:val="es-MX"/>
              </w:rPr>
              <w:t>X</w:t>
            </w:r>
          </w:p>
        </w:tc>
        <w:tc>
          <w:tcPr>
            <w:tcW w:w="1824" w:type="dxa"/>
          </w:tcPr>
          <w:p w14:paraId="08E7381F" w14:textId="77777777" w:rsidR="00900E32" w:rsidRPr="00E676E3" w:rsidRDefault="00900E32" w:rsidP="00746911">
            <w:pPr>
              <w:jc w:val="center"/>
              <w:rPr>
                <w:rFonts w:asciiTheme="majorHAnsi" w:hAnsiTheme="majorHAnsi" w:cs="Arial"/>
                <w:b/>
                <w:sz w:val="22"/>
                <w:szCs w:val="22"/>
                <w:lang w:val="es-MX"/>
              </w:rPr>
            </w:pPr>
          </w:p>
        </w:tc>
      </w:tr>
      <w:tr w:rsidR="00900E32" w14:paraId="4816A84A" w14:textId="77777777" w:rsidTr="00900E32">
        <w:tc>
          <w:tcPr>
            <w:tcW w:w="1823" w:type="dxa"/>
          </w:tcPr>
          <w:p w14:paraId="17938C43" w14:textId="6A53FE36" w:rsidR="00900E32" w:rsidRPr="00603472" w:rsidRDefault="00603472" w:rsidP="00900E32">
            <w:pPr>
              <w:jc w:val="center"/>
              <w:rPr>
                <w:rFonts w:asciiTheme="majorHAnsi" w:hAnsiTheme="majorHAnsi" w:cs="Arial"/>
                <w:b/>
                <w:sz w:val="22"/>
                <w:szCs w:val="22"/>
                <w:lang w:val="es-MX"/>
              </w:rPr>
            </w:pPr>
            <w:r w:rsidRPr="00603472">
              <w:rPr>
                <w:rFonts w:asciiTheme="majorHAnsi" w:hAnsiTheme="majorHAnsi" w:cs="Arial"/>
                <w:b/>
                <w:sz w:val="22"/>
                <w:szCs w:val="22"/>
                <w:lang w:val="es-MX"/>
              </w:rPr>
              <w:t>$5,</w:t>
            </w:r>
            <w:r w:rsidR="00900E32" w:rsidRPr="00603472">
              <w:rPr>
                <w:rFonts w:asciiTheme="majorHAnsi" w:hAnsiTheme="majorHAnsi" w:cs="Arial"/>
                <w:b/>
                <w:sz w:val="22"/>
                <w:szCs w:val="22"/>
                <w:lang w:val="es-MX"/>
              </w:rPr>
              <w:t>000,001</w:t>
            </w:r>
          </w:p>
        </w:tc>
        <w:tc>
          <w:tcPr>
            <w:tcW w:w="1823" w:type="dxa"/>
          </w:tcPr>
          <w:p w14:paraId="1278AC67" w14:textId="77777777" w:rsidR="00900E32" w:rsidRPr="00603472" w:rsidRDefault="00900E32" w:rsidP="00900E32">
            <w:pPr>
              <w:jc w:val="center"/>
              <w:rPr>
                <w:rFonts w:asciiTheme="majorHAnsi" w:hAnsiTheme="majorHAnsi" w:cs="Arial"/>
                <w:b/>
                <w:sz w:val="22"/>
                <w:szCs w:val="22"/>
                <w:lang w:val="es-MX"/>
              </w:rPr>
            </w:pPr>
            <w:r w:rsidRPr="00603472">
              <w:rPr>
                <w:rFonts w:asciiTheme="majorHAnsi" w:hAnsiTheme="majorHAnsi" w:cs="Arial"/>
                <w:b/>
                <w:sz w:val="22"/>
                <w:szCs w:val="22"/>
                <w:lang w:val="es-MX"/>
              </w:rPr>
              <w:t>En adelante</w:t>
            </w:r>
          </w:p>
        </w:tc>
        <w:tc>
          <w:tcPr>
            <w:tcW w:w="1823" w:type="dxa"/>
          </w:tcPr>
          <w:p w14:paraId="3A7A9887" w14:textId="77777777" w:rsidR="00900E32" w:rsidRPr="00E676E3" w:rsidRDefault="00900E32" w:rsidP="00746911">
            <w:pPr>
              <w:jc w:val="center"/>
              <w:rPr>
                <w:rFonts w:asciiTheme="majorHAnsi" w:hAnsiTheme="majorHAnsi" w:cs="Arial"/>
                <w:b/>
                <w:sz w:val="22"/>
                <w:szCs w:val="22"/>
                <w:lang w:val="es-MX"/>
              </w:rPr>
            </w:pPr>
          </w:p>
        </w:tc>
        <w:tc>
          <w:tcPr>
            <w:tcW w:w="1823" w:type="dxa"/>
          </w:tcPr>
          <w:p w14:paraId="0C3A33DC" w14:textId="77777777" w:rsidR="00900E32" w:rsidRPr="00E676E3" w:rsidRDefault="00900E32" w:rsidP="00746911">
            <w:pPr>
              <w:jc w:val="center"/>
              <w:rPr>
                <w:rFonts w:asciiTheme="majorHAnsi" w:hAnsiTheme="majorHAnsi" w:cs="Arial"/>
                <w:b/>
                <w:sz w:val="22"/>
                <w:szCs w:val="22"/>
                <w:lang w:val="es-MX"/>
              </w:rPr>
            </w:pPr>
          </w:p>
        </w:tc>
        <w:tc>
          <w:tcPr>
            <w:tcW w:w="1824" w:type="dxa"/>
          </w:tcPr>
          <w:p w14:paraId="2FE436F8" w14:textId="77777777" w:rsidR="00900E32" w:rsidRPr="00E676E3" w:rsidRDefault="00900E32" w:rsidP="00746911">
            <w:pPr>
              <w:jc w:val="center"/>
              <w:rPr>
                <w:rFonts w:asciiTheme="majorHAnsi" w:hAnsiTheme="majorHAnsi" w:cs="Arial"/>
                <w:b/>
                <w:sz w:val="22"/>
                <w:szCs w:val="22"/>
                <w:lang w:val="es-MX"/>
              </w:rPr>
            </w:pPr>
            <w:r w:rsidRPr="00E676E3">
              <w:rPr>
                <w:rFonts w:asciiTheme="majorHAnsi" w:hAnsiTheme="majorHAnsi" w:cs="Arial"/>
                <w:b/>
                <w:sz w:val="22"/>
                <w:szCs w:val="22"/>
                <w:lang w:val="es-MX"/>
              </w:rPr>
              <w:t>X</w:t>
            </w:r>
          </w:p>
        </w:tc>
      </w:tr>
    </w:tbl>
    <w:p w14:paraId="40BC041F" w14:textId="77777777" w:rsidR="000C4C36" w:rsidRDefault="000C4C36" w:rsidP="00F064A0">
      <w:pPr>
        <w:jc w:val="both"/>
        <w:rPr>
          <w:rFonts w:asciiTheme="majorHAnsi" w:hAnsiTheme="majorHAnsi" w:cs="Arial"/>
          <w:sz w:val="22"/>
          <w:szCs w:val="22"/>
          <w:lang w:val="es-MX"/>
        </w:rPr>
      </w:pPr>
    </w:p>
    <w:p w14:paraId="65C65B87" w14:textId="01A52676" w:rsidR="009D00E7" w:rsidRDefault="00900E32" w:rsidP="00F064A0">
      <w:pPr>
        <w:jc w:val="both"/>
        <w:rPr>
          <w:rFonts w:asciiTheme="majorHAnsi" w:hAnsiTheme="majorHAnsi" w:cs="Arial"/>
          <w:sz w:val="22"/>
          <w:szCs w:val="22"/>
          <w:lang w:val="es-MX"/>
        </w:rPr>
      </w:pPr>
      <w:r w:rsidRPr="00900E32">
        <w:rPr>
          <w:rFonts w:asciiTheme="majorHAnsi" w:hAnsiTheme="majorHAnsi" w:cs="Arial"/>
          <w:sz w:val="22"/>
          <w:szCs w:val="22"/>
          <w:lang w:val="es-MX"/>
        </w:rPr>
        <w:t>Para determinar los procedimientos de contratación de obra pública o servicios relacionados con la misma, con cargo al erario público, se estará a los montos mínimos y máximos que para tal efecto se establecen en la Ley de Obra Pública del Estado de Jalisco y sus Municipios</w:t>
      </w:r>
      <w:r>
        <w:rPr>
          <w:rFonts w:asciiTheme="majorHAnsi" w:hAnsiTheme="majorHAnsi" w:cs="Arial"/>
          <w:sz w:val="22"/>
          <w:szCs w:val="22"/>
          <w:lang w:val="es-MX"/>
        </w:rPr>
        <w:t>.</w:t>
      </w:r>
    </w:p>
    <w:p w14:paraId="1A386C73" w14:textId="77777777" w:rsidR="00900E32" w:rsidRDefault="00900E32" w:rsidP="00F064A0">
      <w:pPr>
        <w:jc w:val="both"/>
        <w:rPr>
          <w:rFonts w:asciiTheme="majorHAnsi" w:hAnsiTheme="majorHAnsi" w:cs="Arial"/>
          <w:sz w:val="22"/>
          <w:szCs w:val="22"/>
          <w:lang w:val="es-MX"/>
        </w:rPr>
      </w:pPr>
    </w:p>
    <w:p w14:paraId="456C8FF0" w14:textId="77777777" w:rsidR="00603472" w:rsidRDefault="00603472" w:rsidP="00F064A0">
      <w:pPr>
        <w:jc w:val="both"/>
        <w:rPr>
          <w:rFonts w:asciiTheme="majorHAnsi" w:hAnsiTheme="majorHAnsi" w:cs="Arial"/>
          <w:sz w:val="22"/>
          <w:szCs w:val="22"/>
          <w:lang w:val="es-MX"/>
        </w:rPr>
      </w:pPr>
    </w:p>
    <w:p w14:paraId="004E559E" w14:textId="24135BB3" w:rsidR="000628D4" w:rsidRDefault="002052F2" w:rsidP="000628D4">
      <w:pPr>
        <w:spacing w:after="240"/>
        <w:rPr>
          <w:rFonts w:asciiTheme="majorHAnsi" w:hAnsiTheme="majorHAnsi" w:cs="Arial"/>
          <w:b/>
          <w:sz w:val="22"/>
          <w:szCs w:val="22"/>
          <w:lang w:val="es-MX"/>
        </w:rPr>
      </w:pPr>
      <w:r w:rsidRPr="002052F2">
        <w:rPr>
          <w:rFonts w:asciiTheme="majorHAnsi" w:hAnsiTheme="majorHAnsi" w:cs="Arial"/>
          <w:b/>
          <w:sz w:val="22"/>
          <w:szCs w:val="22"/>
          <w:lang w:val="es-MX"/>
        </w:rPr>
        <w:t>POLÍTICAS, BASES Y LINEAMIENTOS PARA LA CONTRATACIÓN DE ADQUISICIONES Y ENAJENACIONES DE LA DIRECCIÓN DE PENSIONES DEL ESTADO</w:t>
      </w:r>
      <w:r>
        <w:rPr>
          <w:rFonts w:asciiTheme="majorHAnsi" w:hAnsiTheme="majorHAnsi" w:cs="Arial"/>
          <w:b/>
          <w:sz w:val="22"/>
          <w:szCs w:val="22"/>
          <w:lang w:val="es-MX"/>
        </w:rPr>
        <w:t>.</w:t>
      </w:r>
    </w:p>
    <w:p w14:paraId="5837422C" w14:textId="5AF27F88" w:rsidR="000628D4" w:rsidRDefault="000628D4" w:rsidP="000628D4">
      <w:pPr>
        <w:spacing w:after="240"/>
        <w:rPr>
          <w:rFonts w:asciiTheme="majorHAnsi" w:hAnsiTheme="majorHAnsi" w:cs="Arial"/>
          <w:b/>
          <w:sz w:val="22"/>
          <w:szCs w:val="22"/>
          <w:lang w:val="es-MX"/>
        </w:rPr>
      </w:pPr>
      <w:r>
        <w:rPr>
          <w:rFonts w:asciiTheme="majorHAnsi" w:hAnsiTheme="majorHAnsi" w:cs="Arial"/>
          <w:b/>
          <w:sz w:val="22"/>
          <w:szCs w:val="22"/>
          <w:lang w:val="es-MX"/>
        </w:rPr>
        <w:t>CAPÍTULO II.</w:t>
      </w:r>
    </w:p>
    <w:p w14:paraId="44FA48CD" w14:textId="4225E0B3" w:rsidR="002052F2" w:rsidRDefault="002052F2" w:rsidP="002052F2">
      <w:pPr>
        <w:rPr>
          <w:rFonts w:asciiTheme="majorHAnsi" w:hAnsiTheme="majorHAnsi" w:cs="Arial"/>
          <w:b/>
          <w:sz w:val="22"/>
          <w:szCs w:val="22"/>
          <w:lang w:val="es-MX"/>
        </w:rPr>
      </w:pPr>
      <w:r w:rsidRPr="002052F2">
        <w:rPr>
          <w:rFonts w:asciiTheme="majorHAnsi" w:hAnsiTheme="majorHAnsi" w:cs="Arial"/>
          <w:b/>
          <w:sz w:val="22"/>
          <w:szCs w:val="22"/>
          <w:lang w:val="es-MX"/>
        </w:rPr>
        <w:t>DE LA PROGRAMACIÓN Y PRESUPUESTACIÓN</w:t>
      </w:r>
      <w:r>
        <w:rPr>
          <w:rFonts w:asciiTheme="majorHAnsi" w:hAnsiTheme="majorHAnsi" w:cs="Arial"/>
          <w:b/>
          <w:sz w:val="22"/>
          <w:szCs w:val="22"/>
          <w:lang w:val="es-MX"/>
        </w:rPr>
        <w:t>.</w:t>
      </w:r>
    </w:p>
    <w:p w14:paraId="563169FE" w14:textId="77777777" w:rsidR="002052F2" w:rsidRDefault="002052F2" w:rsidP="002052F2">
      <w:pPr>
        <w:pStyle w:val="Default"/>
        <w:rPr>
          <w:b/>
          <w:bCs/>
          <w:sz w:val="20"/>
          <w:szCs w:val="20"/>
        </w:rPr>
      </w:pPr>
    </w:p>
    <w:p w14:paraId="17543669" w14:textId="504281E7" w:rsidR="002052F2" w:rsidRPr="002052F2" w:rsidRDefault="000628D4" w:rsidP="000628D4">
      <w:pPr>
        <w:pStyle w:val="Default"/>
        <w:jc w:val="both"/>
        <w:rPr>
          <w:rFonts w:asciiTheme="majorHAnsi" w:hAnsiTheme="majorHAnsi"/>
          <w:sz w:val="22"/>
          <w:szCs w:val="22"/>
        </w:rPr>
      </w:pPr>
      <w:r>
        <w:rPr>
          <w:rFonts w:asciiTheme="majorHAnsi" w:hAnsiTheme="majorHAnsi"/>
          <w:b/>
          <w:bCs/>
          <w:sz w:val="22"/>
          <w:szCs w:val="22"/>
        </w:rPr>
        <w:t>Artículo 7</w:t>
      </w:r>
      <w:r w:rsidR="002052F2" w:rsidRPr="002052F2">
        <w:rPr>
          <w:rFonts w:asciiTheme="majorHAnsi" w:hAnsiTheme="majorHAnsi"/>
          <w:b/>
          <w:bCs/>
          <w:sz w:val="22"/>
          <w:szCs w:val="22"/>
        </w:rPr>
        <w:t xml:space="preserve">. - </w:t>
      </w:r>
      <w:r w:rsidR="002052F2" w:rsidRPr="002052F2">
        <w:rPr>
          <w:rFonts w:asciiTheme="majorHAnsi" w:hAnsiTheme="majorHAnsi"/>
          <w:sz w:val="22"/>
          <w:szCs w:val="22"/>
        </w:rPr>
        <w:t>El Organismo a través de la Dirección Administrativa, deberá formular su programa anual de adquisiciones, arrendamientos y contratación de servicios, con base en sus necesidades reales y con sujeción al presupuesto de egresos vigente en cada ejercicio fiscal, y presentarlo al Consejo Directivo para su aproba</w:t>
      </w:r>
      <w:r w:rsidR="002052F2">
        <w:rPr>
          <w:rFonts w:asciiTheme="majorHAnsi" w:hAnsiTheme="majorHAnsi"/>
          <w:sz w:val="22"/>
          <w:szCs w:val="22"/>
        </w:rPr>
        <w:t xml:space="preserve">ción a más tardar en la primera </w:t>
      </w:r>
      <w:r w:rsidR="002052F2" w:rsidRPr="002052F2">
        <w:rPr>
          <w:rFonts w:asciiTheme="majorHAnsi" w:hAnsiTheme="majorHAnsi"/>
          <w:sz w:val="22"/>
          <w:szCs w:val="22"/>
        </w:rPr>
        <w:t xml:space="preserve">quincena del mes de noviembre del año anterior del ejercicio para el que se programe, debiendo integrar en la propuesta: </w:t>
      </w:r>
    </w:p>
    <w:p w14:paraId="14B80887" w14:textId="77777777" w:rsidR="002052F2" w:rsidRPr="002052F2" w:rsidRDefault="002052F2" w:rsidP="000628D4">
      <w:pPr>
        <w:pStyle w:val="Default"/>
        <w:jc w:val="both"/>
        <w:rPr>
          <w:rFonts w:asciiTheme="majorHAnsi" w:hAnsiTheme="majorHAnsi"/>
          <w:sz w:val="22"/>
          <w:szCs w:val="22"/>
        </w:rPr>
      </w:pPr>
      <w:r w:rsidRPr="002052F2">
        <w:rPr>
          <w:rFonts w:asciiTheme="majorHAnsi" w:hAnsiTheme="majorHAnsi"/>
          <w:sz w:val="22"/>
          <w:szCs w:val="22"/>
        </w:rPr>
        <w:t xml:space="preserve">I. Descripción de los bienes y o contratación de servicios; </w:t>
      </w:r>
    </w:p>
    <w:p w14:paraId="732BE73A" w14:textId="77777777" w:rsidR="002052F2" w:rsidRPr="002052F2" w:rsidRDefault="002052F2" w:rsidP="000628D4">
      <w:pPr>
        <w:pStyle w:val="Default"/>
        <w:jc w:val="both"/>
        <w:rPr>
          <w:rFonts w:asciiTheme="majorHAnsi" w:hAnsiTheme="majorHAnsi"/>
          <w:sz w:val="22"/>
          <w:szCs w:val="22"/>
        </w:rPr>
      </w:pPr>
      <w:r w:rsidRPr="002052F2">
        <w:rPr>
          <w:rFonts w:asciiTheme="majorHAnsi" w:hAnsiTheme="majorHAnsi"/>
          <w:sz w:val="22"/>
          <w:szCs w:val="22"/>
        </w:rPr>
        <w:t xml:space="preserve">II. Costo aproximado de la adquisición o contratación del servicio, y </w:t>
      </w:r>
    </w:p>
    <w:p w14:paraId="73ACAAEB" w14:textId="76528125" w:rsidR="002052F2" w:rsidRPr="002052F2" w:rsidRDefault="002052F2" w:rsidP="000628D4">
      <w:pPr>
        <w:jc w:val="both"/>
        <w:rPr>
          <w:rFonts w:asciiTheme="majorHAnsi" w:hAnsiTheme="majorHAnsi" w:cs="Arial"/>
          <w:b/>
          <w:sz w:val="22"/>
          <w:szCs w:val="22"/>
          <w:lang w:val="es-MX"/>
        </w:rPr>
      </w:pPr>
      <w:r w:rsidRPr="002052F2">
        <w:rPr>
          <w:rFonts w:asciiTheme="majorHAnsi" w:hAnsiTheme="majorHAnsi"/>
          <w:sz w:val="22"/>
          <w:szCs w:val="22"/>
        </w:rPr>
        <w:t>III. Justificación de las adquisiciones, arrendamientos y contratación de servicios</w:t>
      </w:r>
    </w:p>
    <w:p w14:paraId="05B23485" w14:textId="77777777" w:rsidR="009D00E7" w:rsidRDefault="009D00E7" w:rsidP="00EA360E">
      <w:pPr>
        <w:rPr>
          <w:rFonts w:asciiTheme="majorHAnsi" w:hAnsiTheme="majorHAnsi" w:cs="Arial"/>
          <w:b/>
          <w:sz w:val="22"/>
          <w:szCs w:val="22"/>
          <w:lang w:val="es-MX"/>
        </w:rPr>
      </w:pPr>
    </w:p>
    <w:p w14:paraId="20958A11" w14:textId="77777777" w:rsidR="009D00E7" w:rsidRDefault="009D00E7" w:rsidP="00EA360E">
      <w:pPr>
        <w:rPr>
          <w:rFonts w:asciiTheme="majorHAnsi" w:hAnsiTheme="majorHAnsi" w:cs="Arial"/>
          <w:b/>
          <w:sz w:val="22"/>
          <w:szCs w:val="22"/>
          <w:lang w:val="es-MX"/>
        </w:rPr>
      </w:pPr>
    </w:p>
    <w:p w14:paraId="23DE670C" w14:textId="77777777" w:rsidR="009D00E7" w:rsidRDefault="009D00E7" w:rsidP="00EA360E">
      <w:pPr>
        <w:rPr>
          <w:rFonts w:asciiTheme="majorHAnsi" w:hAnsiTheme="majorHAnsi" w:cs="Arial"/>
          <w:b/>
          <w:sz w:val="22"/>
          <w:szCs w:val="22"/>
          <w:lang w:val="es-MX"/>
        </w:rPr>
      </w:pPr>
    </w:p>
    <w:tbl>
      <w:tblPr>
        <w:tblStyle w:val="Tablaconcuadrcula"/>
        <w:tblW w:w="0" w:type="auto"/>
        <w:tblLook w:val="04A0" w:firstRow="1" w:lastRow="0" w:firstColumn="1" w:lastColumn="0" w:noHBand="0" w:noVBand="1"/>
      </w:tblPr>
      <w:tblGrid>
        <w:gridCol w:w="2830"/>
        <w:gridCol w:w="3414"/>
        <w:gridCol w:w="2810"/>
      </w:tblGrid>
      <w:tr w:rsidR="00900E32" w14:paraId="38D54B41" w14:textId="77777777" w:rsidTr="003E25B5">
        <w:tc>
          <w:tcPr>
            <w:tcW w:w="3369" w:type="dxa"/>
          </w:tcPr>
          <w:p w14:paraId="50DF0026" w14:textId="77777777" w:rsidR="003E25B5" w:rsidRDefault="003E25B5" w:rsidP="00071B27">
            <w:pPr>
              <w:rPr>
                <w:rFonts w:asciiTheme="majorHAnsi" w:hAnsiTheme="majorHAnsi" w:cs="Arial"/>
                <w:sz w:val="22"/>
                <w:szCs w:val="22"/>
                <w:lang w:val="es-MX"/>
              </w:rPr>
            </w:pPr>
          </w:p>
          <w:p w14:paraId="3292EA5D" w14:textId="78A70A8F" w:rsidR="00900E32" w:rsidRDefault="00900E32" w:rsidP="00071B27">
            <w:pPr>
              <w:rPr>
                <w:rFonts w:asciiTheme="majorHAnsi" w:hAnsiTheme="majorHAnsi" w:cs="Arial"/>
                <w:sz w:val="22"/>
                <w:szCs w:val="22"/>
                <w:lang w:val="es-MX"/>
              </w:rPr>
            </w:pPr>
            <w:r>
              <w:rPr>
                <w:rFonts w:asciiTheme="majorHAnsi" w:hAnsiTheme="majorHAnsi" w:cs="Arial"/>
                <w:sz w:val="22"/>
                <w:szCs w:val="22"/>
                <w:lang w:val="es-MX"/>
              </w:rPr>
              <w:t xml:space="preserve">AUTORIZÓ </w:t>
            </w:r>
          </w:p>
        </w:tc>
        <w:tc>
          <w:tcPr>
            <w:tcW w:w="3924" w:type="dxa"/>
          </w:tcPr>
          <w:p w14:paraId="5E1A945A" w14:textId="77777777" w:rsidR="00900E32" w:rsidRPr="00900E32" w:rsidRDefault="00900E32" w:rsidP="00071B27">
            <w:pPr>
              <w:rPr>
                <w:rFonts w:asciiTheme="majorHAnsi" w:hAnsiTheme="majorHAnsi" w:cs="Arial"/>
                <w:sz w:val="10"/>
                <w:szCs w:val="22"/>
                <w:lang w:val="es-MX"/>
              </w:rPr>
            </w:pPr>
          </w:p>
          <w:p w14:paraId="30CA02C6" w14:textId="4529FFB0" w:rsidR="00900E32" w:rsidRPr="000D7FB8" w:rsidRDefault="00900E32" w:rsidP="00071B27">
            <w:pPr>
              <w:rPr>
                <w:rFonts w:asciiTheme="majorHAnsi" w:hAnsiTheme="majorHAnsi" w:cs="Arial"/>
                <w:b/>
                <w:sz w:val="22"/>
                <w:szCs w:val="22"/>
                <w:lang w:val="es-MX"/>
              </w:rPr>
            </w:pPr>
            <w:r w:rsidRPr="000D7FB8">
              <w:rPr>
                <w:rFonts w:asciiTheme="majorHAnsi" w:hAnsiTheme="majorHAnsi" w:cs="Arial"/>
                <w:b/>
                <w:sz w:val="22"/>
                <w:szCs w:val="22"/>
                <w:lang w:val="es-MX"/>
              </w:rPr>
              <w:t>IVÁN EDUARDO ARGÜELLES SÁNCHEZ.</w:t>
            </w:r>
          </w:p>
          <w:p w14:paraId="3CBA2254" w14:textId="7CCC501A" w:rsidR="00900E32" w:rsidRDefault="00900E32" w:rsidP="00071B27">
            <w:pPr>
              <w:rPr>
                <w:rFonts w:asciiTheme="majorHAnsi" w:hAnsiTheme="majorHAnsi" w:cs="Arial"/>
                <w:sz w:val="22"/>
                <w:szCs w:val="22"/>
                <w:lang w:val="es-MX"/>
              </w:rPr>
            </w:pPr>
            <w:r>
              <w:rPr>
                <w:rFonts w:asciiTheme="majorHAnsi" w:hAnsiTheme="majorHAnsi" w:cs="Arial"/>
                <w:sz w:val="22"/>
                <w:szCs w:val="22"/>
                <w:lang w:val="es-MX"/>
              </w:rPr>
              <w:t>DIRECTOR GENERAL DEL INSTITUTO DE PENSIONES DEL ESTADO DE JALISCO.</w:t>
            </w:r>
          </w:p>
          <w:p w14:paraId="4935B31F" w14:textId="34C4700A" w:rsidR="00900E32" w:rsidRPr="00900E32" w:rsidRDefault="00900E32" w:rsidP="00071B27">
            <w:pPr>
              <w:rPr>
                <w:rFonts w:asciiTheme="majorHAnsi" w:hAnsiTheme="majorHAnsi" w:cs="Arial"/>
                <w:sz w:val="8"/>
                <w:szCs w:val="22"/>
                <w:lang w:val="es-MX"/>
              </w:rPr>
            </w:pPr>
          </w:p>
        </w:tc>
        <w:tc>
          <w:tcPr>
            <w:tcW w:w="3647" w:type="dxa"/>
          </w:tcPr>
          <w:p w14:paraId="2C259517" w14:textId="77777777" w:rsidR="00900E32" w:rsidRDefault="00900E32" w:rsidP="00071B27">
            <w:pPr>
              <w:rPr>
                <w:rFonts w:asciiTheme="majorHAnsi" w:hAnsiTheme="majorHAnsi" w:cs="Arial"/>
                <w:sz w:val="22"/>
                <w:szCs w:val="22"/>
                <w:lang w:val="es-MX"/>
              </w:rPr>
            </w:pPr>
          </w:p>
        </w:tc>
      </w:tr>
      <w:tr w:rsidR="00900E32" w14:paraId="1A24785E" w14:textId="77777777" w:rsidTr="003E25B5">
        <w:tc>
          <w:tcPr>
            <w:tcW w:w="3369" w:type="dxa"/>
          </w:tcPr>
          <w:p w14:paraId="1CEC64E5" w14:textId="77777777" w:rsidR="003E25B5" w:rsidRDefault="003E25B5" w:rsidP="00071B27">
            <w:pPr>
              <w:rPr>
                <w:rFonts w:asciiTheme="majorHAnsi" w:hAnsiTheme="majorHAnsi" w:cs="Arial"/>
                <w:sz w:val="22"/>
                <w:szCs w:val="22"/>
                <w:lang w:val="es-MX"/>
              </w:rPr>
            </w:pPr>
          </w:p>
          <w:p w14:paraId="69B4C36B" w14:textId="50D92099" w:rsidR="00900E32" w:rsidRDefault="00900E32" w:rsidP="00071B27">
            <w:pPr>
              <w:rPr>
                <w:rFonts w:asciiTheme="majorHAnsi" w:hAnsiTheme="majorHAnsi" w:cs="Arial"/>
                <w:sz w:val="22"/>
                <w:szCs w:val="22"/>
                <w:lang w:val="es-MX"/>
              </w:rPr>
            </w:pPr>
            <w:r>
              <w:rPr>
                <w:rFonts w:asciiTheme="majorHAnsi" w:hAnsiTheme="majorHAnsi" w:cs="Arial"/>
                <w:sz w:val="22"/>
                <w:szCs w:val="22"/>
                <w:lang w:val="es-MX"/>
              </w:rPr>
              <w:t>VALIDÓ</w:t>
            </w:r>
          </w:p>
        </w:tc>
        <w:tc>
          <w:tcPr>
            <w:tcW w:w="3924" w:type="dxa"/>
          </w:tcPr>
          <w:p w14:paraId="4BC3BDFE" w14:textId="77777777" w:rsidR="00900E32" w:rsidRPr="00900E32" w:rsidRDefault="00900E32" w:rsidP="00071B27">
            <w:pPr>
              <w:rPr>
                <w:rFonts w:asciiTheme="majorHAnsi" w:hAnsiTheme="majorHAnsi" w:cs="Arial"/>
                <w:sz w:val="6"/>
                <w:szCs w:val="22"/>
                <w:lang w:val="es-MX"/>
              </w:rPr>
            </w:pPr>
          </w:p>
          <w:p w14:paraId="139A0E1A" w14:textId="7742E1B8" w:rsidR="00900E32" w:rsidRPr="000D7FB8" w:rsidRDefault="00900E32" w:rsidP="00071B27">
            <w:pPr>
              <w:rPr>
                <w:rFonts w:asciiTheme="majorHAnsi" w:hAnsiTheme="majorHAnsi" w:cs="Arial"/>
                <w:b/>
                <w:sz w:val="22"/>
                <w:szCs w:val="22"/>
                <w:lang w:val="es-MX"/>
              </w:rPr>
            </w:pPr>
            <w:r w:rsidRPr="000D7FB8">
              <w:rPr>
                <w:rFonts w:asciiTheme="majorHAnsi" w:hAnsiTheme="majorHAnsi" w:cs="Arial"/>
                <w:b/>
                <w:sz w:val="22"/>
                <w:szCs w:val="22"/>
                <w:lang w:val="es-MX"/>
              </w:rPr>
              <w:t>ALEJANDRO GÁLVEZ BECERRA.</w:t>
            </w:r>
          </w:p>
          <w:p w14:paraId="2F5C8C12" w14:textId="09ED0711" w:rsidR="00900E32" w:rsidRDefault="00900E32" w:rsidP="00071B27">
            <w:pPr>
              <w:rPr>
                <w:rFonts w:asciiTheme="majorHAnsi" w:hAnsiTheme="majorHAnsi" w:cs="Arial"/>
                <w:sz w:val="22"/>
                <w:szCs w:val="22"/>
                <w:lang w:val="es-MX"/>
              </w:rPr>
            </w:pPr>
            <w:r>
              <w:rPr>
                <w:rFonts w:asciiTheme="majorHAnsi" w:hAnsiTheme="majorHAnsi" w:cs="Arial"/>
                <w:sz w:val="22"/>
                <w:szCs w:val="22"/>
                <w:lang w:val="es-MX"/>
              </w:rPr>
              <w:t xml:space="preserve">DIRECTOR </w:t>
            </w:r>
            <w:r w:rsidR="000844FF">
              <w:rPr>
                <w:rFonts w:asciiTheme="majorHAnsi" w:hAnsiTheme="majorHAnsi" w:cs="Arial"/>
                <w:sz w:val="22"/>
                <w:szCs w:val="22"/>
                <w:lang w:val="es-MX"/>
              </w:rPr>
              <w:t>GENERAL DE ADMINISTRACIÓN</w:t>
            </w:r>
          </w:p>
          <w:p w14:paraId="56B9D2A9" w14:textId="7809F14D" w:rsidR="00900E32" w:rsidRPr="00900E32" w:rsidRDefault="00900E32" w:rsidP="00071B27">
            <w:pPr>
              <w:rPr>
                <w:rFonts w:asciiTheme="majorHAnsi" w:hAnsiTheme="majorHAnsi" w:cs="Arial"/>
                <w:sz w:val="10"/>
                <w:szCs w:val="22"/>
                <w:lang w:val="es-MX"/>
              </w:rPr>
            </w:pPr>
          </w:p>
        </w:tc>
        <w:tc>
          <w:tcPr>
            <w:tcW w:w="3647" w:type="dxa"/>
          </w:tcPr>
          <w:p w14:paraId="31D381BA" w14:textId="77777777" w:rsidR="00900E32" w:rsidRDefault="00900E32" w:rsidP="00071B27">
            <w:pPr>
              <w:rPr>
                <w:rFonts w:asciiTheme="majorHAnsi" w:hAnsiTheme="majorHAnsi" w:cs="Arial"/>
                <w:sz w:val="22"/>
                <w:szCs w:val="22"/>
                <w:lang w:val="es-MX"/>
              </w:rPr>
            </w:pPr>
          </w:p>
        </w:tc>
      </w:tr>
      <w:tr w:rsidR="00900E32" w14:paraId="2865FE74" w14:textId="77777777" w:rsidTr="003E25B5">
        <w:tc>
          <w:tcPr>
            <w:tcW w:w="3369" w:type="dxa"/>
          </w:tcPr>
          <w:p w14:paraId="134F5F33" w14:textId="77777777" w:rsidR="003E25B5" w:rsidRDefault="003E25B5" w:rsidP="00071B27">
            <w:pPr>
              <w:rPr>
                <w:rFonts w:asciiTheme="majorHAnsi" w:hAnsiTheme="majorHAnsi" w:cs="Arial"/>
                <w:sz w:val="22"/>
                <w:szCs w:val="22"/>
                <w:lang w:val="es-MX"/>
              </w:rPr>
            </w:pPr>
          </w:p>
          <w:p w14:paraId="6703EEC8" w14:textId="77777777" w:rsidR="003E25B5" w:rsidRDefault="003E25B5" w:rsidP="00071B27">
            <w:pPr>
              <w:rPr>
                <w:rFonts w:asciiTheme="majorHAnsi" w:hAnsiTheme="majorHAnsi" w:cs="Arial"/>
                <w:sz w:val="22"/>
                <w:szCs w:val="22"/>
                <w:lang w:val="es-MX"/>
              </w:rPr>
            </w:pPr>
          </w:p>
          <w:p w14:paraId="042A5FAE" w14:textId="396DBAF4" w:rsidR="00900E32" w:rsidRDefault="00900E32" w:rsidP="00071B27">
            <w:pPr>
              <w:rPr>
                <w:rFonts w:asciiTheme="majorHAnsi" w:hAnsiTheme="majorHAnsi" w:cs="Arial"/>
                <w:sz w:val="22"/>
                <w:szCs w:val="22"/>
                <w:lang w:val="es-MX"/>
              </w:rPr>
            </w:pPr>
            <w:r>
              <w:rPr>
                <w:rFonts w:asciiTheme="majorHAnsi" w:hAnsiTheme="majorHAnsi" w:cs="Arial"/>
                <w:sz w:val="22"/>
                <w:szCs w:val="22"/>
                <w:lang w:val="es-MX"/>
              </w:rPr>
              <w:t>ELABORÓ</w:t>
            </w:r>
          </w:p>
        </w:tc>
        <w:tc>
          <w:tcPr>
            <w:tcW w:w="3924" w:type="dxa"/>
          </w:tcPr>
          <w:p w14:paraId="0C765D5E" w14:textId="77777777" w:rsidR="00900E32" w:rsidRPr="00900E32" w:rsidRDefault="00900E32" w:rsidP="00071B27">
            <w:pPr>
              <w:rPr>
                <w:rFonts w:asciiTheme="majorHAnsi" w:hAnsiTheme="majorHAnsi" w:cs="Arial"/>
                <w:sz w:val="6"/>
                <w:szCs w:val="22"/>
                <w:lang w:val="es-MX"/>
              </w:rPr>
            </w:pPr>
          </w:p>
          <w:p w14:paraId="7C7733A0" w14:textId="5FF31CE7" w:rsidR="00900E32" w:rsidRPr="000D7FB8" w:rsidRDefault="00900E32" w:rsidP="00071B27">
            <w:pPr>
              <w:rPr>
                <w:rFonts w:asciiTheme="majorHAnsi" w:hAnsiTheme="majorHAnsi" w:cs="Arial"/>
                <w:b/>
                <w:sz w:val="22"/>
                <w:szCs w:val="22"/>
                <w:lang w:val="es-MX"/>
              </w:rPr>
            </w:pPr>
            <w:r w:rsidRPr="000D7FB8">
              <w:rPr>
                <w:rFonts w:asciiTheme="majorHAnsi" w:hAnsiTheme="majorHAnsi" w:cs="Arial"/>
                <w:b/>
                <w:sz w:val="22"/>
                <w:szCs w:val="22"/>
                <w:lang w:val="es-MX"/>
              </w:rPr>
              <w:t>EDUARDO RUVALCABA HERNÁNDEZ.</w:t>
            </w:r>
          </w:p>
          <w:p w14:paraId="3D6093FD" w14:textId="4CDF4DA3" w:rsidR="00900E32" w:rsidRDefault="000844FF" w:rsidP="00071B27">
            <w:pPr>
              <w:rPr>
                <w:rFonts w:asciiTheme="majorHAnsi" w:hAnsiTheme="majorHAnsi" w:cs="Arial"/>
                <w:sz w:val="22"/>
                <w:szCs w:val="22"/>
                <w:lang w:val="es-MX"/>
              </w:rPr>
            </w:pPr>
            <w:r>
              <w:rPr>
                <w:rFonts w:asciiTheme="majorHAnsi" w:hAnsiTheme="majorHAnsi" w:cs="Arial"/>
                <w:sz w:val="22"/>
                <w:szCs w:val="22"/>
                <w:lang w:val="es-MX"/>
              </w:rPr>
              <w:t>DIRECTOR DE ADQUISICIONES</w:t>
            </w:r>
            <w:r w:rsidR="003E25B5">
              <w:rPr>
                <w:rFonts w:asciiTheme="majorHAnsi" w:hAnsiTheme="majorHAnsi" w:cs="Arial"/>
                <w:sz w:val="22"/>
                <w:szCs w:val="22"/>
                <w:lang w:val="es-MX"/>
              </w:rPr>
              <w:t>.</w:t>
            </w:r>
          </w:p>
          <w:p w14:paraId="33E895EC" w14:textId="6534C0C2" w:rsidR="00900E32" w:rsidRDefault="000844FF" w:rsidP="00071B27">
            <w:pPr>
              <w:rPr>
                <w:rFonts w:asciiTheme="majorHAnsi" w:hAnsiTheme="majorHAnsi" w:cs="Arial"/>
                <w:sz w:val="22"/>
                <w:szCs w:val="22"/>
                <w:lang w:val="es-MX"/>
              </w:rPr>
            </w:pPr>
            <w:r>
              <w:rPr>
                <w:rFonts w:asciiTheme="majorHAnsi" w:hAnsiTheme="majorHAnsi" w:cs="Arial"/>
                <w:sz w:val="22"/>
                <w:szCs w:val="22"/>
                <w:lang w:val="es-MX"/>
              </w:rPr>
              <w:t xml:space="preserve">TITULAR DE LA </w:t>
            </w:r>
            <w:r w:rsidR="00900E32">
              <w:rPr>
                <w:rFonts w:asciiTheme="majorHAnsi" w:hAnsiTheme="majorHAnsi" w:cs="Arial"/>
                <w:sz w:val="22"/>
                <w:szCs w:val="22"/>
                <w:lang w:val="es-MX"/>
              </w:rPr>
              <w:t>UNIDAD CENTRALIZADA DE COMPRAS</w:t>
            </w:r>
            <w:r w:rsidR="003E25B5">
              <w:rPr>
                <w:rFonts w:asciiTheme="majorHAnsi" w:hAnsiTheme="majorHAnsi" w:cs="Arial"/>
                <w:sz w:val="22"/>
                <w:szCs w:val="22"/>
                <w:lang w:val="es-MX"/>
              </w:rPr>
              <w:t>.</w:t>
            </w:r>
          </w:p>
          <w:p w14:paraId="68A54C28" w14:textId="2E2F0D36" w:rsidR="00900E32" w:rsidRPr="00900E32" w:rsidRDefault="00900E32" w:rsidP="00071B27">
            <w:pPr>
              <w:rPr>
                <w:rFonts w:asciiTheme="majorHAnsi" w:hAnsiTheme="majorHAnsi" w:cs="Arial"/>
                <w:sz w:val="4"/>
                <w:szCs w:val="22"/>
                <w:lang w:val="es-MX"/>
              </w:rPr>
            </w:pPr>
          </w:p>
        </w:tc>
        <w:tc>
          <w:tcPr>
            <w:tcW w:w="3647" w:type="dxa"/>
          </w:tcPr>
          <w:p w14:paraId="28679258" w14:textId="77777777" w:rsidR="00900E32" w:rsidRDefault="00900E32" w:rsidP="00071B27">
            <w:pPr>
              <w:rPr>
                <w:rFonts w:asciiTheme="majorHAnsi" w:hAnsiTheme="majorHAnsi" w:cs="Arial"/>
                <w:sz w:val="22"/>
                <w:szCs w:val="22"/>
                <w:lang w:val="es-MX"/>
              </w:rPr>
            </w:pPr>
          </w:p>
        </w:tc>
      </w:tr>
    </w:tbl>
    <w:p w14:paraId="5ED7BAB3" w14:textId="3D1A1F49" w:rsidR="00FE39D1" w:rsidRPr="00E676E3" w:rsidRDefault="00FE39D1" w:rsidP="00071B27">
      <w:pPr>
        <w:rPr>
          <w:rFonts w:asciiTheme="majorHAnsi" w:hAnsiTheme="majorHAnsi" w:cs="Arial"/>
          <w:sz w:val="22"/>
          <w:szCs w:val="22"/>
          <w:lang w:val="es-MX"/>
        </w:rPr>
      </w:pPr>
    </w:p>
    <w:sectPr w:rsidR="00FE39D1" w:rsidRPr="00E676E3" w:rsidSect="000628D4">
      <w:footerReference w:type="default" r:id="rId9"/>
      <w:pgSz w:w="12240" w:h="15840"/>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4800D5" w14:textId="77777777" w:rsidR="00736C22" w:rsidRDefault="00736C22" w:rsidP="000372F1">
      <w:r>
        <w:separator/>
      </w:r>
    </w:p>
  </w:endnote>
  <w:endnote w:type="continuationSeparator" w:id="0">
    <w:p w14:paraId="793BDCBD" w14:textId="77777777" w:rsidR="00736C22" w:rsidRDefault="00736C22" w:rsidP="00037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DCD19C" w14:textId="3BDE1FF1" w:rsidR="000628D4" w:rsidRDefault="000D7FB8">
    <w:pPr>
      <w:pStyle w:val="Piedepgina"/>
      <w:jc w:val="center"/>
    </w:pPr>
    <w:sdt>
      <w:sdtPr>
        <w:id w:val="785158129"/>
        <w:docPartObj>
          <w:docPartGallery w:val="Page Numbers (Bottom of Page)"/>
          <w:docPartUnique/>
        </w:docPartObj>
      </w:sdtPr>
      <w:sdtEndPr/>
      <w:sdtContent>
        <w:r w:rsidR="000628D4">
          <w:fldChar w:fldCharType="begin"/>
        </w:r>
        <w:r w:rsidR="000628D4">
          <w:instrText>PAGE   \* MERGEFORMAT</w:instrText>
        </w:r>
        <w:r w:rsidR="000628D4">
          <w:fldChar w:fldCharType="separate"/>
        </w:r>
        <w:r w:rsidRPr="000D7FB8">
          <w:rPr>
            <w:noProof/>
            <w:lang w:val="es-ES"/>
          </w:rPr>
          <w:t>1</w:t>
        </w:r>
        <w:r w:rsidR="000628D4">
          <w:fldChar w:fldCharType="end"/>
        </w:r>
      </w:sdtContent>
    </w:sdt>
  </w:p>
  <w:p w14:paraId="452CCE3C" w14:textId="01663E27" w:rsidR="000372F1" w:rsidRDefault="000372F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F076B5" w14:textId="77777777" w:rsidR="00736C22" w:rsidRDefault="00736C22" w:rsidP="000372F1">
      <w:r>
        <w:separator/>
      </w:r>
    </w:p>
  </w:footnote>
  <w:footnote w:type="continuationSeparator" w:id="0">
    <w:p w14:paraId="074B7BCD" w14:textId="77777777" w:rsidR="00736C22" w:rsidRDefault="00736C22" w:rsidP="000372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6975CD"/>
    <w:multiLevelType w:val="hybridMultilevel"/>
    <w:tmpl w:val="CB4A761C"/>
    <w:lvl w:ilvl="0" w:tplc="2C7A9D36">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DDF7C61"/>
    <w:multiLevelType w:val="hybridMultilevel"/>
    <w:tmpl w:val="A3B4C554"/>
    <w:lvl w:ilvl="0" w:tplc="94B8002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FBD2930"/>
    <w:multiLevelType w:val="hybridMultilevel"/>
    <w:tmpl w:val="A52034C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B393DC0"/>
    <w:multiLevelType w:val="hybridMultilevel"/>
    <w:tmpl w:val="FABCBB8E"/>
    <w:lvl w:ilvl="0" w:tplc="9064DFBE">
      <w:start w:val="1"/>
      <w:numFmt w:val="upperRoman"/>
      <w:lvlText w:val="%1."/>
      <w:lvlJc w:val="left"/>
      <w:pPr>
        <w:tabs>
          <w:tab w:val="num" w:pos="1080"/>
        </w:tabs>
        <w:ind w:left="1080" w:hanging="720"/>
      </w:pPr>
      <w:rPr>
        <w:rFonts w:cs="Times New Roman"/>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4" w15:restartNumberingAfterBreak="0">
    <w:nsid w:val="421D25A7"/>
    <w:multiLevelType w:val="hybridMultilevel"/>
    <w:tmpl w:val="FFFFFFFF"/>
    <w:lvl w:ilvl="0" w:tplc="45067F18">
      <w:start w:val="1"/>
      <w:numFmt w:val="upperRoman"/>
      <w:lvlText w:val="%1."/>
      <w:lvlJc w:val="left"/>
      <w:pPr>
        <w:ind w:left="720" w:hanging="360"/>
      </w:pPr>
      <w:rPr>
        <w:rFonts w:cs="Times New Roman"/>
      </w:rPr>
    </w:lvl>
    <w:lvl w:ilvl="1" w:tplc="44284980">
      <w:start w:val="1"/>
      <w:numFmt w:val="lowerLetter"/>
      <w:lvlText w:val="%2."/>
      <w:lvlJc w:val="left"/>
      <w:pPr>
        <w:ind w:left="1440" w:hanging="360"/>
      </w:pPr>
      <w:rPr>
        <w:rFonts w:cs="Times New Roman"/>
      </w:rPr>
    </w:lvl>
    <w:lvl w:ilvl="2" w:tplc="09C298F8">
      <w:start w:val="1"/>
      <w:numFmt w:val="lowerRoman"/>
      <w:lvlText w:val="%3."/>
      <w:lvlJc w:val="right"/>
      <w:pPr>
        <w:ind w:left="2160" w:hanging="180"/>
      </w:pPr>
      <w:rPr>
        <w:rFonts w:cs="Times New Roman"/>
      </w:rPr>
    </w:lvl>
    <w:lvl w:ilvl="3" w:tplc="F12A937A">
      <w:start w:val="1"/>
      <w:numFmt w:val="decimal"/>
      <w:lvlText w:val="%4."/>
      <w:lvlJc w:val="left"/>
      <w:pPr>
        <w:ind w:left="2880" w:hanging="360"/>
      </w:pPr>
      <w:rPr>
        <w:rFonts w:cs="Times New Roman"/>
      </w:rPr>
    </w:lvl>
    <w:lvl w:ilvl="4" w:tplc="1DB4DDE4">
      <w:start w:val="1"/>
      <w:numFmt w:val="lowerLetter"/>
      <w:lvlText w:val="%5."/>
      <w:lvlJc w:val="left"/>
      <w:pPr>
        <w:ind w:left="3600" w:hanging="360"/>
      </w:pPr>
      <w:rPr>
        <w:rFonts w:cs="Times New Roman"/>
      </w:rPr>
    </w:lvl>
    <w:lvl w:ilvl="5" w:tplc="0616C908">
      <w:start w:val="1"/>
      <w:numFmt w:val="lowerRoman"/>
      <w:lvlText w:val="%6."/>
      <w:lvlJc w:val="right"/>
      <w:pPr>
        <w:ind w:left="4320" w:hanging="180"/>
      </w:pPr>
      <w:rPr>
        <w:rFonts w:cs="Times New Roman"/>
      </w:rPr>
    </w:lvl>
    <w:lvl w:ilvl="6" w:tplc="DE1C7E94">
      <w:start w:val="1"/>
      <w:numFmt w:val="decimal"/>
      <w:lvlText w:val="%7."/>
      <w:lvlJc w:val="left"/>
      <w:pPr>
        <w:ind w:left="5040" w:hanging="360"/>
      </w:pPr>
      <w:rPr>
        <w:rFonts w:cs="Times New Roman"/>
      </w:rPr>
    </w:lvl>
    <w:lvl w:ilvl="7" w:tplc="89564A5E">
      <w:start w:val="1"/>
      <w:numFmt w:val="lowerLetter"/>
      <w:lvlText w:val="%8."/>
      <w:lvlJc w:val="left"/>
      <w:pPr>
        <w:ind w:left="5760" w:hanging="360"/>
      </w:pPr>
      <w:rPr>
        <w:rFonts w:cs="Times New Roman"/>
      </w:rPr>
    </w:lvl>
    <w:lvl w:ilvl="8" w:tplc="56242624">
      <w:start w:val="1"/>
      <w:numFmt w:val="lowerRoman"/>
      <w:lvlText w:val="%9."/>
      <w:lvlJc w:val="right"/>
      <w:pPr>
        <w:ind w:left="6480" w:hanging="180"/>
      </w:pPr>
      <w:rPr>
        <w:rFonts w:cs="Times New Roman"/>
      </w:rPr>
    </w:lvl>
  </w:abstractNum>
  <w:abstractNum w:abstractNumId="5" w15:restartNumberingAfterBreak="0">
    <w:nsid w:val="6F0F4FAA"/>
    <w:multiLevelType w:val="hybridMultilevel"/>
    <w:tmpl w:val="540A5D26"/>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2F1"/>
    <w:rsid w:val="000372F1"/>
    <w:rsid w:val="000628D4"/>
    <w:rsid w:val="00071B27"/>
    <w:rsid w:val="000844FF"/>
    <w:rsid w:val="000C4C36"/>
    <w:rsid w:val="000D7FB8"/>
    <w:rsid w:val="000F0380"/>
    <w:rsid w:val="00145F79"/>
    <w:rsid w:val="002052F2"/>
    <w:rsid w:val="002D4920"/>
    <w:rsid w:val="003D5EEA"/>
    <w:rsid w:val="003E25B5"/>
    <w:rsid w:val="004746B4"/>
    <w:rsid w:val="00494CAD"/>
    <w:rsid w:val="004975EB"/>
    <w:rsid w:val="004E4D8F"/>
    <w:rsid w:val="004F4F9D"/>
    <w:rsid w:val="00603472"/>
    <w:rsid w:val="006344ED"/>
    <w:rsid w:val="007171B7"/>
    <w:rsid w:val="00736C22"/>
    <w:rsid w:val="007E3EE9"/>
    <w:rsid w:val="00890403"/>
    <w:rsid w:val="00900E32"/>
    <w:rsid w:val="00944638"/>
    <w:rsid w:val="009C3B42"/>
    <w:rsid w:val="009D00E7"/>
    <w:rsid w:val="00A5387E"/>
    <w:rsid w:val="00B263F8"/>
    <w:rsid w:val="00C04B07"/>
    <w:rsid w:val="00C36249"/>
    <w:rsid w:val="00C76000"/>
    <w:rsid w:val="00E676E3"/>
    <w:rsid w:val="00EA360E"/>
    <w:rsid w:val="00EC5590"/>
    <w:rsid w:val="00F064A0"/>
    <w:rsid w:val="00FE39D1"/>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69E2947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0372F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0372F1"/>
    <w:rPr>
      <w:rFonts w:ascii="Lucida Grande" w:hAnsi="Lucida Grande" w:cs="Lucida Grande"/>
      <w:sz w:val="18"/>
      <w:szCs w:val="18"/>
    </w:rPr>
  </w:style>
  <w:style w:type="paragraph" w:styleId="Encabezado">
    <w:name w:val="header"/>
    <w:basedOn w:val="Normal"/>
    <w:link w:val="EncabezadoCar"/>
    <w:uiPriority w:val="99"/>
    <w:unhideWhenUsed/>
    <w:rsid w:val="000372F1"/>
    <w:pPr>
      <w:tabs>
        <w:tab w:val="center" w:pos="4153"/>
        <w:tab w:val="right" w:pos="8306"/>
      </w:tabs>
    </w:pPr>
  </w:style>
  <w:style w:type="character" w:customStyle="1" w:styleId="EncabezadoCar">
    <w:name w:val="Encabezado Car"/>
    <w:basedOn w:val="Fuentedeprrafopredeter"/>
    <w:link w:val="Encabezado"/>
    <w:uiPriority w:val="99"/>
    <w:rsid w:val="000372F1"/>
  </w:style>
  <w:style w:type="paragraph" w:styleId="Piedepgina">
    <w:name w:val="footer"/>
    <w:basedOn w:val="Normal"/>
    <w:link w:val="PiedepginaCar"/>
    <w:uiPriority w:val="99"/>
    <w:unhideWhenUsed/>
    <w:rsid w:val="000372F1"/>
    <w:pPr>
      <w:tabs>
        <w:tab w:val="center" w:pos="4153"/>
        <w:tab w:val="right" w:pos="8306"/>
      </w:tabs>
    </w:pPr>
  </w:style>
  <w:style w:type="character" w:customStyle="1" w:styleId="PiedepginaCar">
    <w:name w:val="Pie de página Car"/>
    <w:basedOn w:val="Fuentedeprrafopredeter"/>
    <w:link w:val="Piedepgina"/>
    <w:uiPriority w:val="99"/>
    <w:rsid w:val="000372F1"/>
  </w:style>
  <w:style w:type="paragraph" w:styleId="Textoindependiente">
    <w:name w:val="Body Text"/>
    <w:basedOn w:val="Normal"/>
    <w:link w:val="TextoindependienteCar"/>
    <w:uiPriority w:val="1"/>
    <w:semiHidden/>
    <w:unhideWhenUsed/>
    <w:qFormat/>
    <w:rsid w:val="00FE39D1"/>
    <w:pPr>
      <w:widowControl w:val="0"/>
      <w:autoSpaceDE w:val="0"/>
      <w:autoSpaceDN w:val="0"/>
      <w:ind w:left="20"/>
    </w:pPr>
    <w:rPr>
      <w:rFonts w:ascii="Courier New" w:eastAsia="Courier New" w:hAnsi="Courier New" w:cs="Courier New"/>
      <w:sz w:val="22"/>
      <w:szCs w:val="22"/>
      <w:lang w:val="en-US"/>
    </w:rPr>
  </w:style>
  <w:style w:type="character" w:customStyle="1" w:styleId="TextoindependienteCar">
    <w:name w:val="Texto independiente Car"/>
    <w:basedOn w:val="Fuentedeprrafopredeter"/>
    <w:link w:val="Textoindependiente"/>
    <w:uiPriority w:val="1"/>
    <w:semiHidden/>
    <w:rsid w:val="00FE39D1"/>
    <w:rPr>
      <w:rFonts w:ascii="Courier New" w:eastAsia="Courier New" w:hAnsi="Courier New" w:cs="Courier New"/>
      <w:sz w:val="22"/>
      <w:szCs w:val="22"/>
      <w:lang w:val="en-US"/>
    </w:rPr>
  </w:style>
  <w:style w:type="table" w:styleId="Tablaconcuadrcula">
    <w:name w:val="Table Grid"/>
    <w:basedOn w:val="Tablanormal"/>
    <w:uiPriority w:val="59"/>
    <w:rsid w:val="007E3E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7E3EE9"/>
    <w:pPr>
      <w:ind w:left="720"/>
      <w:contextualSpacing/>
    </w:pPr>
  </w:style>
  <w:style w:type="paragraph" w:customStyle="1" w:styleId="ListParagraph2">
    <w:name w:val="List Paragraph2"/>
    <w:basedOn w:val="Normal"/>
    <w:rsid w:val="00EA360E"/>
    <w:pPr>
      <w:spacing w:after="160" w:line="256" w:lineRule="auto"/>
      <w:ind w:left="720"/>
    </w:pPr>
    <w:rPr>
      <w:rFonts w:ascii="Calibri" w:eastAsia="Times New Roman" w:hAnsi="Calibri" w:cs="Times New Roman"/>
      <w:sz w:val="22"/>
      <w:szCs w:val="22"/>
      <w:lang w:val="es-ES"/>
    </w:rPr>
  </w:style>
  <w:style w:type="paragraph" w:customStyle="1" w:styleId="Default">
    <w:name w:val="Default"/>
    <w:rsid w:val="002052F2"/>
    <w:pPr>
      <w:autoSpaceDE w:val="0"/>
      <w:autoSpaceDN w:val="0"/>
      <w:adjustRightInd w:val="0"/>
    </w:pPr>
    <w:rPr>
      <w:rFonts w:ascii="Arial" w:hAnsi="Arial" w:cs="Arial"/>
      <w:color w:val="00000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102536">
      <w:bodyDiv w:val="1"/>
      <w:marLeft w:val="0"/>
      <w:marRight w:val="0"/>
      <w:marTop w:val="0"/>
      <w:marBottom w:val="0"/>
      <w:divBdr>
        <w:top w:val="none" w:sz="0" w:space="0" w:color="auto"/>
        <w:left w:val="none" w:sz="0" w:space="0" w:color="auto"/>
        <w:bottom w:val="none" w:sz="0" w:space="0" w:color="auto"/>
        <w:right w:val="none" w:sz="0" w:space="0" w:color="auto"/>
      </w:divBdr>
    </w:div>
    <w:div w:id="471603407">
      <w:bodyDiv w:val="1"/>
      <w:marLeft w:val="0"/>
      <w:marRight w:val="0"/>
      <w:marTop w:val="0"/>
      <w:marBottom w:val="0"/>
      <w:divBdr>
        <w:top w:val="none" w:sz="0" w:space="0" w:color="auto"/>
        <w:left w:val="none" w:sz="0" w:space="0" w:color="auto"/>
        <w:bottom w:val="none" w:sz="0" w:space="0" w:color="auto"/>
        <w:right w:val="none" w:sz="0" w:space="0" w:color="auto"/>
      </w:divBdr>
    </w:div>
    <w:div w:id="604463398">
      <w:bodyDiv w:val="1"/>
      <w:marLeft w:val="0"/>
      <w:marRight w:val="0"/>
      <w:marTop w:val="0"/>
      <w:marBottom w:val="0"/>
      <w:divBdr>
        <w:top w:val="none" w:sz="0" w:space="0" w:color="auto"/>
        <w:left w:val="none" w:sz="0" w:space="0" w:color="auto"/>
        <w:bottom w:val="none" w:sz="0" w:space="0" w:color="auto"/>
        <w:right w:val="none" w:sz="0" w:space="0" w:color="auto"/>
      </w:divBdr>
    </w:div>
    <w:div w:id="726033970">
      <w:bodyDiv w:val="1"/>
      <w:marLeft w:val="0"/>
      <w:marRight w:val="0"/>
      <w:marTop w:val="0"/>
      <w:marBottom w:val="0"/>
      <w:divBdr>
        <w:top w:val="none" w:sz="0" w:space="0" w:color="auto"/>
        <w:left w:val="none" w:sz="0" w:space="0" w:color="auto"/>
        <w:bottom w:val="none" w:sz="0" w:space="0" w:color="auto"/>
        <w:right w:val="none" w:sz="0" w:space="0" w:color="auto"/>
      </w:divBdr>
    </w:div>
    <w:div w:id="971599346">
      <w:bodyDiv w:val="1"/>
      <w:marLeft w:val="0"/>
      <w:marRight w:val="0"/>
      <w:marTop w:val="0"/>
      <w:marBottom w:val="0"/>
      <w:divBdr>
        <w:top w:val="none" w:sz="0" w:space="0" w:color="auto"/>
        <w:left w:val="none" w:sz="0" w:space="0" w:color="auto"/>
        <w:bottom w:val="none" w:sz="0" w:space="0" w:color="auto"/>
        <w:right w:val="none" w:sz="0" w:space="0" w:color="auto"/>
      </w:divBdr>
    </w:div>
    <w:div w:id="1650015962">
      <w:bodyDiv w:val="1"/>
      <w:marLeft w:val="0"/>
      <w:marRight w:val="0"/>
      <w:marTop w:val="0"/>
      <w:marBottom w:val="0"/>
      <w:divBdr>
        <w:top w:val="none" w:sz="0" w:space="0" w:color="auto"/>
        <w:left w:val="none" w:sz="0" w:space="0" w:color="auto"/>
        <w:bottom w:val="none" w:sz="0" w:space="0" w:color="auto"/>
        <w:right w:val="none" w:sz="0" w:space="0" w:color="auto"/>
      </w:divBdr>
    </w:div>
    <w:div w:id="21394522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039408-1EF1-4338-838C-D3909C252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7</Pages>
  <Words>2160</Words>
  <Characters>11881</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dipe</Company>
  <LinksUpToDate>false</LinksUpToDate>
  <CharactersWithSpaces>14013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Lorna flores</dc:creator>
  <cp:keywords/>
  <dc:description/>
  <cp:lastModifiedBy>Ruvalcaba Hernandez, Eduardo</cp:lastModifiedBy>
  <cp:revision>15</cp:revision>
  <cp:lastPrinted>2019-10-30T20:34:00Z</cp:lastPrinted>
  <dcterms:created xsi:type="dcterms:W3CDTF">2019-01-02T21:26:00Z</dcterms:created>
  <dcterms:modified xsi:type="dcterms:W3CDTF">2020-08-19T16:48:00Z</dcterms:modified>
</cp:coreProperties>
</file>